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ED3" w:rsidRPr="007B6ED3" w:rsidRDefault="007B6ED3" w:rsidP="007B6ED3">
      <w:pPr>
        <w:jc w:val="center"/>
        <w:rPr>
          <w:u w:val="single"/>
        </w:rPr>
      </w:pPr>
    </w:p>
    <w:p w:rsidR="00783E32" w:rsidRDefault="00783E32" w:rsidP="007B6ED3">
      <w:pPr>
        <w:jc w:val="both"/>
      </w:pPr>
      <w:r>
        <w:t>W dniu 28 października 2016 r. w siedzibie MSZ przy ul</w:t>
      </w:r>
      <w:r w:rsidR="007B6ED3">
        <w:t>.</w:t>
      </w:r>
      <w:r>
        <w:t xml:space="preserve"> Krywulta</w:t>
      </w:r>
      <w:r w:rsidR="007B6ED3">
        <w:t xml:space="preserve"> 2</w:t>
      </w:r>
      <w:r>
        <w:t xml:space="preserve"> miała miejsce Konferencja </w:t>
      </w:r>
      <w:proofErr w:type="spellStart"/>
      <w:r>
        <w:t>twinningowa</w:t>
      </w:r>
      <w:proofErr w:type="spellEnd"/>
      <w:r>
        <w:t xml:space="preserve"> 2016. </w:t>
      </w:r>
      <w:r w:rsidR="007B6ED3">
        <w:t>W</w:t>
      </w:r>
      <w:r>
        <w:t xml:space="preserve">ydarzenie </w:t>
      </w:r>
      <w:r w:rsidR="007B6ED3">
        <w:t xml:space="preserve">to </w:t>
      </w:r>
      <w:r>
        <w:t xml:space="preserve">organizowane jest raz do roku przez Krajowy Punkt Kontaktowy ds. </w:t>
      </w:r>
      <w:proofErr w:type="spellStart"/>
      <w:r>
        <w:t>twinning</w:t>
      </w:r>
      <w:proofErr w:type="spellEnd"/>
      <w:r>
        <w:t xml:space="preserve"> i TAIEX w DWR i służy promocji unijnych programów pomocowych  - </w:t>
      </w:r>
      <w:proofErr w:type="spellStart"/>
      <w:r>
        <w:t>twinning</w:t>
      </w:r>
      <w:proofErr w:type="spellEnd"/>
      <w:r>
        <w:t xml:space="preserve"> i TAIEX wśród polskiej administracji publicznej. Programy te wchodzą w skład instrumentów finansowych Komisji Europejskiej IPA i ENI.</w:t>
      </w:r>
    </w:p>
    <w:p w:rsidR="00783E32" w:rsidRDefault="00783E32" w:rsidP="007B6ED3">
      <w:pPr>
        <w:jc w:val="both"/>
      </w:pPr>
      <w:r>
        <w:t>W tegorocznym spotkaniu wzięło udział około 50 osób reprezentujących polską administrację publiczną.</w:t>
      </w:r>
    </w:p>
    <w:p w:rsidR="006D7999" w:rsidRDefault="00547B0A" w:rsidP="007B6ED3">
      <w:pPr>
        <w:jc w:val="both"/>
      </w:pPr>
      <w:r w:rsidRPr="008915B4"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4E5F7AF4" wp14:editId="3FFCBB6F">
            <wp:simplePos x="0" y="0"/>
            <wp:positionH relativeFrom="column">
              <wp:posOffset>-147320</wp:posOffset>
            </wp:positionH>
            <wp:positionV relativeFrom="paragraph">
              <wp:posOffset>669290</wp:posOffset>
            </wp:positionV>
            <wp:extent cx="5962648" cy="2257425"/>
            <wp:effectExtent l="0" t="0" r="63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48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281F">
        <w:rPr>
          <w:noProof/>
          <w:lang w:eastAsia="pl-PL"/>
        </w:rPr>
        <w:t>Podczas konferencji</w:t>
      </w:r>
      <w:r>
        <w:t xml:space="preserve"> </w:t>
      </w:r>
      <w:r w:rsidR="007D281F">
        <w:t>przedstawiono</w:t>
      </w:r>
      <w:r w:rsidR="008915B4">
        <w:t xml:space="preserve"> statystyki realizacji projektów </w:t>
      </w:r>
      <w:proofErr w:type="spellStart"/>
      <w:r w:rsidR="008915B4">
        <w:t>twinningowych</w:t>
      </w:r>
      <w:proofErr w:type="spellEnd"/>
      <w:r w:rsidR="008915B4">
        <w:t xml:space="preserve"> i TAIEX przez polskie instytucje zarówno w </w:t>
      </w:r>
      <w:r>
        <w:t xml:space="preserve">roku </w:t>
      </w:r>
      <w:r w:rsidR="008915B4">
        <w:t>2016,</w:t>
      </w:r>
      <w:r>
        <w:t xml:space="preserve"> jak i w </w:t>
      </w:r>
      <w:r w:rsidR="008915B4">
        <w:t xml:space="preserve">kilkuletnim ujęciu. </w:t>
      </w:r>
    </w:p>
    <w:p w:rsidR="00585E91" w:rsidRDefault="00585E91" w:rsidP="007B6ED3">
      <w:pPr>
        <w:jc w:val="both"/>
      </w:pPr>
    </w:p>
    <w:p w:rsidR="00547B0A" w:rsidRDefault="00547B0A" w:rsidP="007B6ED3">
      <w:pPr>
        <w:jc w:val="both"/>
      </w:pPr>
    </w:p>
    <w:p w:rsidR="00547B0A" w:rsidRDefault="00547B0A" w:rsidP="007B6ED3">
      <w:pPr>
        <w:jc w:val="both"/>
      </w:pPr>
    </w:p>
    <w:p w:rsidR="00547B0A" w:rsidRDefault="00547B0A" w:rsidP="007B6ED3">
      <w:pPr>
        <w:jc w:val="both"/>
      </w:pPr>
    </w:p>
    <w:p w:rsidR="006D7999" w:rsidRDefault="006D7999" w:rsidP="007B6ED3">
      <w:pPr>
        <w:jc w:val="both"/>
      </w:pPr>
    </w:p>
    <w:p w:rsidR="006D7999" w:rsidRDefault="006D7999" w:rsidP="007B6ED3">
      <w:pPr>
        <w:jc w:val="both"/>
      </w:pPr>
      <w:r>
        <w:t xml:space="preserve"> </w:t>
      </w:r>
    </w:p>
    <w:p w:rsidR="006D7999" w:rsidRDefault="006D7999" w:rsidP="007B6ED3">
      <w:pPr>
        <w:jc w:val="both"/>
      </w:pPr>
      <w:r>
        <w:t xml:space="preserve"> </w:t>
      </w:r>
    </w:p>
    <w:p w:rsidR="00783E32" w:rsidRPr="00591E4B" w:rsidRDefault="00547B0A" w:rsidP="007B6ED3">
      <w:pPr>
        <w:spacing w:line="240" w:lineRule="auto"/>
        <w:jc w:val="both"/>
        <w:rPr>
          <w:sz w:val="18"/>
          <w:szCs w:val="18"/>
        </w:rPr>
      </w:pPr>
      <w:r w:rsidRPr="00591E4B">
        <w:rPr>
          <w:sz w:val="18"/>
          <w:szCs w:val="18"/>
        </w:rPr>
        <w:t>Wykres przedstawia polskie oferty przygotowane i projekty wygrane w latach 2011-2016</w:t>
      </w:r>
      <w:r w:rsidR="00591E4B" w:rsidRPr="00591E4B">
        <w:rPr>
          <w:rStyle w:val="Odwoanieprzypisudolnego"/>
          <w:sz w:val="18"/>
          <w:szCs w:val="18"/>
        </w:rPr>
        <w:footnoteReference w:id="1"/>
      </w:r>
    </w:p>
    <w:p w:rsidR="00547B0A" w:rsidRDefault="00547B0A" w:rsidP="007B6ED3">
      <w:pPr>
        <w:jc w:val="both"/>
        <w:rPr>
          <w:sz w:val="20"/>
          <w:szCs w:val="20"/>
        </w:rPr>
      </w:pPr>
    </w:p>
    <w:p w:rsidR="00547B0A" w:rsidRDefault="00547B0A" w:rsidP="007B6ED3">
      <w:pPr>
        <w:jc w:val="both"/>
      </w:pPr>
      <w:r w:rsidRPr="00C510E7">
        <w:t xml:space="preserve">W </w:t>
      </w:r>
      <w:r w:rsidR="00102F27">
        <w:t>2016 r.</w:t>
      </w:r>
      <w:r w:rsidRPr="00C510E7">
        <w:t xml:space="preserve"> polskie instytucje przygotowały 14 projektów </w:t>
      </w:r>
      <w:proofErr w:type="spellStart"/>
      <w:r w:rsidRPr="00C510E7">
        <w:t>twinningowych</w:t>
      </w:r>
      <w:proofErr w:type="spellEnd"/>
      <w:r w:rsidR="00DD23DD">
        <w:t>,</w:t>
      </w:r>
      <w:r w:rsidRPr="00C510E7">
        <w:t xml:space="preserve"> z tego </w:t>
      </w:r>
      <w:r w:rsidR="007F0CE7" w:rsidRPr="00C510E7">
        <w:t xml:space="preserve">wygrały </w:t>
      </w:r>
      <w:r w:rsidR="00C868AE">
        <w:t>sześć</w:t>
      </w:r>
      <w:r w:rsidR="00102F27">
        <w:t xml:space="preserve"> projektów</w:t>
      </w:r>
      <w:r w:rsidR="007F0CE7" w:rsidRPr="00C510E7">
        <w:t>, tj. dla: Mołdawii (</w:t>
      </w:r>
      <w:r w:rsidR="00C868AE">
        <w:t>dwa</w:t>
      </w:r>
      <w:r w:rsidR="007F0CE7" w:rsidRPr="00C510E7">
        <w:t xml:space="preserve"> projekty - w </w:t>
      </w:r>
      <w:r w:rsidRPr="00C510E7">
        <w:t xml:space="preserve"> </w:t>
      </w:r>
      <w:r w:rsidR="007F0CE7" w:rsidRPr="00C510E7">
        <w:t>obsza</w:t>
      </w:r>
      <w:r w:rsidR="00803EFE">
        <w:t>rze rolnictwa i ochrony zdrowia</w:t>
      </w:r>
      <w:r w:rsidR="007F0CE7" w:rsidRPr="00C510E7">
        <w:t>)</w:t>
      </w:r>
      <w:r w:rsidR="00102F27">
        <w:rPr>
          <w:rStyle w:val="Odwoanieprzypisudolnego"/>
        </w:rPr>
        <w:footnoteReference w:id="2"/>
      </w:r>
      <w:r w:rsidR="007F0CE7" w:rsidRPr="00C510E7">
        <w:t>, Ukrainy (</w:t>
      </w:r>
      <w:r w:rsidR="00803EFE">
        <w:t>j</w:t>
      </w:r>
      <w:r w:rsidR="00C868AE">
        <w:t>eden</w:t>
      </w:r>
      <w:r w:rsidR="007F0CE7" w:rsidRPr="00C510E7">
        <w:t xml:space="preserve"> pr</w:t>
      </w:r>
      <w:r w:rsidR="00803EFE">
        <w:t>ojekt w obszarze ochrony granic</w:t>
      </w:r>
      <w:r w:rsidR="007F0CE7" w:rsidRPr="00C510E7">
        <w:t>)</w:t>
      </w:r>
      <w:r w:rsidR="00102F27">
        <w:rPr>
          <w:rStyle w:val="Odwoanieprzypisudolnego"/>
        </w:rPr>
        <w:footnoteReference w:id="3"/>
      </w:r>
      <w:r w:rsidR="00C868AE">
        <w:t>, Gruzji (jeden</w:t>
      </w:r>
      <w:r w:rsidR="007F0CE7" w:rsidRPr="00C510E7">
        <w:t xml:space="preserve"> projekt w obszarze ochrony zdrowia)</w:t>
      </w:r>
      <w:r w:rsidR="00102F27">
        <w:rPr>
          <w:rStyle w:val="Odwoanieprzypisudolnego"/>
        </w:rPr>
        <w:footnoteReference w:id="4"/>
      </w:r>
      <w:r w:rsidR="00C868AE">
        <w:t>, Chorwacji (jeden</w:t>
      </w:r>
      <w:r w:rsidR="007F0CE7" w:rsidRPr="00C510E7">
        <w:t xml:space="preserve"> projekt w obszarze medycyny sądowej)</w:t>
      </w:r>
      <w:r w:rsidR="00102F27">
        <w:rPr>
          <w:rStyle w:val="Odwoanieprzypisudolnego"/>
        </w:rPr>
        <w:footnoteReference w:id="5"/>
      </w:r>
      <w:r w:rsidR="00C868AE">
        <w:t xml:space="preserve"> oraz dla Kosowa (jeden</w:t>
      </w:r>
      <w:r w:rsidR="007F0CE7" w:rsidRPr="00C510E7">
        <w:t xml:space="preserve"> projekt w obszarze integracji europejskiej)</w:t>
      </w:r>
      <w:r w:rsidR="00102F27">
        <w:rPr>
          <w:rStyle w:val="Odwoanieprzypisudolnego"/>
        </w:rPr>
        <w:footnoteReference w:id="6"/>
      </w:r>
      <w:r w:rsidR="00143138" w:rsidRPr="00C510E7">
        <w:t>. Suma budżetów ww.</w:t>
      </w:r>
      <w:r w:rsidR="00591E4B">
        <w:t xml:space="preserve"> projektów finansowanych</w:t>
      </w:r>
      <w:r w:rsidR="00143138" w:rsidRPr="00C510E7">
        <w:t xml:space="preserve"> przez Komisję Europejską wynosi 6,67 mln euro.</w:t>
      </w:r>
      <w:r w:rsidR="007F0CE7" w:rsidRPr="00C510E7">
        <w:t xml:space="preserve"> </w:t>
      </w:r>
    </w:p>
    <w:p w:rsidR="00A71A2A" w:rsidRPr="00C510E7" w:rsidRDefault="00A71A2A" w:rsidP="007B6ED3">
      <w:pPr>
        <w:jc w:val="both"/>
      </w:pPr>
      <w:r>
        <w:t xml:space="preserve">Po krótce przedstawiono także </w:t>
      </w:r>
      <w:r w:rsidR="00952B07">
        <w:t>zapowiadaną na</w:t>
      </w:r>
      <w:r w:rsidR="00591E4B">
        <w:t xml:space="preserve"> 2017 r.</w:t>
      </w:r>
      <w:r>
        <w:t xml:space="preserve"> możliwość </w:t>
      </w:r>
      <w:r w:rsidR="00591E4B">
        <w:t>rozpoczęcia pierwszych</w:t>
      </w:r>
      <w:r>
        <w:t xml:space="preserve"> projektów </w:t>
      </w:r>
      <w:proofErr w:type="spellStart"/>
      <w:r>
        <w:t>twinningowych</w:t>
      </w:r>
      <w:proofErr w:type="spellEnd"/>
      <w:r>
        <w:t xml:space="preserve"> </w:t>
      </w:r>
      <w:r w:rsidR="00591E4B">
        <w:t>na</w:t>
      </w:r>
      <w:r>
        <w:t xml:space="preserve"> Białorusi.</w:t>
      </w:r>
      <w:r w:rsidR="00591E4B">
        <w:rPr>
          <w:rStyle w:val="Odwoanieprzypisudolnego"/>
        </w:rPr>
        <w:footnoteReference w:id="7"/>
      </w:r>
    </w:p>
    <w:p w:rsidR="00143138" w:rsidRPr="00C510E7" w:rsidRDefault="00143138" w:rsidP="007B6ED3">
      <w:pPr>
        <w:jc w:val="both"/>
      </w:pPr>
      <w:r w:rsidRPr="00C510E7">
        <w:lastRenderedPageBreak/>
        <w:t>Jeśli wziąć pod uwagę europejski kontekst</w:t>
      </w:r>
      <w:r w:rsidR="00DD23DD">
        <w:t>,</w:t>
      </w:r>
      <w:r w:rsidRPr="00C510E7">
        <w:t xml:space="preserve"> to Polska znajduje się poza pierwszą piętnastką naj</w:t>
      </w:r>
      <w:r w:rsidR="00591E4B">
        <w:t>bardziej aktywnych państw</w:t>
      </w:r>
      <w:r w:rsidRPr="00C510E7">
        <w:t xml:space="preserve"> UE w realizacji projektów </w:t>
      </w:r>
      <w:proofErr w:type="spellStart"/>
      <w:r w:rsidRPr="00C510E7">
        <w:t>twinningowych</w:t>
      </w:r>
      <w:proofErr w:type="spellEnd"/>
      <w:r w:rsidRPr="00C510E7">
        <w:t>. Najaktywniejsze obecnie kraje to Niemcy i Litwa.</w:t>
      </w:r>
    </w:p>
    <w:p w:rsidR="00143138" w:rsidRPr="00C510E7" w:rsidRDefault="00143138" w:rsidP="007B6ED3">
      <w:pPr>
        <w:jc w:val="both"/>
      </w:pPr>
    </w:p>
    <w:p w:rsidR="00143138" w:rsidRPr="00C510E7" w:rsidRDefault="00143138" w:rsidP="007B6ED3">
      <w:pPr>
        <w:jc w:val="both"/>
      </w:pPr>
      <w:r w:rsidRPr="00C510E7">
        <w:t>W ramach TAIEX liczba mini-projektów realizowanych w ostatnich latach przez polskich ekspertów oscyluje pomiędzy 140 a 200</w:t>
      </w:r>
      <w:r w:rsidR="00803EFE">
        <w:t xml:space="preserve"> rocznie</w:t>
      </w:r>
      <w:r w:rsidR="00952B07">
        <w:t>,</w:t>
      </w:r>
      <w:r w:rsidR="00803AEC" w:rsidRPr="00C510E7">
        <w:t xml:space="preserve"> </w:t>
      </w:r>
      <w:r w:rsidR="00952B07">
        <w:t>c</w:t>
      </w:r>
      <w:r w:rsidR="00803AEC" w:rsidRPr="00C510E7">
        <w:t>o sytuuje Polskę w pobliżu 10 miejsca w UE. Najaktywniejsze obecnie kraje to Włochy i Chorwacja.</w:t>
      </w:r>
    </w:p>
    <w:p w:rsidR="00803AEC" w:rsidRPr="00547B0A" w:rsidRDefault="00803AEC" w:rsidP="007B6ED3">
      <w:pPr>
        <w:jc w:val="both"/>
        <w:rPr>
          <w:sz w:val="24"/>
          <w:szCs w:val="24"/>
        </w:rPr>
      </w:pPr>
      <w:r w:rsidRPr="00803AEC">
        <w:rPr>
          <w:noProof/>
          <w:sz w:val="24"/>
          <w:szCs w:val="24"/>
          <w:lang w:eastAsia="pl-PL"/>
        </w:rPr>
        <w:drawing>
          <wp:inline distT="0" distB="0" distL="0" distR="0" wp14:anchorId="33CBC491" wp14:editId="2B40B2B6">
            <wp:extent cx="5772150" cy="2066925"/>
            <wp:effectExtent l="0" t="0" r="19050" b="9525"/>
            <wp:docPr id="2" name="Wykres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83E32" w:rsidRPr="00591E4B" w:rsidRDefault="00803AEC" w:rsidP="007B6ED3">
      <w:pPr>
        <w:jc w:val="both"/>
        <w:rPr>
          <w:sz w:val="18"/>
          <w:szCs w:val="18"/>
        </w:rPr>
      </w:pPr>
      <w:r w:rsidRPr="00591E4B">
        <w:rPr>
          <w:sz w:val="18"/>
          <w:szCs w:val="18"/>
        </w:rPr>
        <w:t>Wykres przedstawia liczbę projektów TAIEX realizowalnych przez polskich ekspertów w państwach beneficjentach w latach 2010-2016.</w:t>
      </w:r>
      <w:r w:rsidR="00D125DA">
        <w:rPr>
          <w:sz w:val="18"/>
          <w:szCs w:val="18"/>
        </w:rPr>
        <w:t xml:space="preserve"> Wartość z 2016 r. dotyczy wyłącznie pierwszego półrocza.</w:t>
      </w:r>
      <w:r w:rsidR="00591E4B">
        <w:rPr>
          <w:rStyle w:val="Odwoanieprzypisudolnego"/>
          <w:sz w:val="18"/>
          <w:szCs w:val="18"/>
        </w:rPr>
        <w:footnoteReference w:id="8"/>
      </w:r>
    </w:p>
    <w:p w:rsidR="00803AEC" w:rsidRPr="00C510E7" w:rsidRDefault="00803AEC" w:rsidP="007B6ED3">
      <w:pPr>
        <w:jc w:val="both"/>
      </w:pPr>
      <w:r w:rsidRPr="00C510E7">
        <w:t xml:space="preserve">W </w:t>
      </w:r>
      <w:r w:rsidR="00C868AE">
        <w:t>ww.</w:t>
      </w:r>
      <w:r w:rsidR="00803EFE">
        <w:t xml:space="preserve"> okresie najwięcej projektów realiz</w:t>
      </w:r>
      <w:r w:rsidRPr="00C510E7">
        <w:t>owanych było dla</w:t>
      </w:r>
      <w:r w:rsidR="00C510E7" w:rsidRPr="00C510E7">
        <w:t>:</w:t>
      </w:r>
      <w:r w:rsidRPr="00C510E7">
        <w:t xml:space="preserve"> Ukrainy, Turcji i społeczności tzw. Tureckiej Republiki Cypru Północnego.</w:t>
      </w:r>
    </w:p>
    <w:p w:rsidR="00803AEC" w:rsidRPr="00803AEC" w:rsidRDefault="00C510E7" w:rsidP="007B6ED3">
      <w:pPr>
        <w:jc w:val="both"/>
        <w:rPr>
          <w:sz w:val="20"/>
          <w:szCs w:val="20"/>
        </w:rPr>
      </w:pPr>
      <w:r w:rsidRPr="00803AEC">
        <w:rPr>
          <w:noProof/>
          <w:lang w:eastAsia="pl-PL"/>
        </w:rPr>
        <w:drawing>
          <wp:inline distT="0" distB="0" distL="0" distR="0" wp14:anchorId="6C14C742" wp14:editId="742D1254">
            <wp:extent cx="5753100" cy="1990725"/>
            <wp:effectExtent l="0" t="0" r="19050" b="9525"/>
            <wp:docPr id="3" name="Wykres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803AEC" w:rsidRPr="00591E4B" w:rsidRDefault="00803AEC" w:rsidP="007B6ED3">
      <w:pPr>
        <w:jc w:val="both"/>
        <w:rPr>
          <w:sz w:val="18"/>
          <w:szCs w:val="18"/>
        </w:rPr>
      </w:pPr>
      <w:r w:rsidRPr="00591E4B">
        <w:rPr>
          <w:sz w:val="18"/>
          <w:szCs w:val="18"/>
        </w:rPr>
        <w:t>Wykres przestawia liczbę wizyt studyjnych TAIEX w Polsce w latach 2010-2016.</w:t>
      </w:r>
      <w:r w:rsidR="00D125DA" w:rsidRPr="00D125DA">
        <w:rPr>
          <w:sz w:val="18"/>
          <w:szCs w:val="18"/>
        </w:rPr>
        <w:t xml:space="preserve"> </w:t>
      </w:r>
      <w:r w:rsidR="00D125DA">
        <w:rPr>
          <w:sz w:val="18"/>
          <w:szCs w:val="18"/>
        </w:rPr>
        <w:t>Wartość z 2016 r. dotyczy wyłącznie pierwszego półrocza.</w:t>
      </w:r>
      <w:r w:rsidR="00D125DA">
        <w:rPr>
          <w:rStyle w:val="Odwoanieprzypisudolnego"/>
          <w:sz w:val="18"/>
          <w:szCs w:val="18"/>
        </w:rPr>
        <w:t xml:space="preserve"> </w:t>
      </w:r>
      <w:r w:rsidR="00591E4B">
        <w:rPr>
          <w:rStyle w:val="Odwoanieprzypisudolnego"/>
          <w:sz w:val="18"/>
          <w:szCs w:val="18"/>
        </w:rPr>
        <w:footnoteReference w:id="9"/>
      </w:r>
    </w:p>
    <w:p w:rsidR="00C510E7" w:rsidRDefault="00C510E7" w:rsidP="007B6ED3">
      <w:pPr>
        <w:jc w:val="both"/>
      </w:pPr>
      <w:r w:rsidRPr="00C510E7">
        <w:t>W przestawionym okresie największe zainteresowanie wizytami w Polsce zgłaszały administracje Macedonii, Ukrainy i Turcji.</w:t>
      </w:r>
      <w:r>
        <w:t xml:space="preserve"> </w:t>
      </w:r>
    </w:p>
    <w:p w:rsidR="00C510E7" w:rsidRDefault="00D125DA" w:rsidP="007B6ED3">
      <w:pPr>
        <w:jc w:val="both"/>
      </w:pPr>
      <w:r>
        <w:lastRenderedPageBreak/>
        <w:t>W kilkuletniej perspektywie d</w:t>
      </w:r>
      <w:r w:rsidR="00C510E7">
        <w:t xml:space="preserve">o najaktywniejszych polskich instytucji w realizacji projektów TAIEX, </w:t>
      </w:r>
      <w:r>
        <w:t xml:space="preserve">można </w:t>
      </w:r>
      <w:r w:rsidR="00C510E7">
        <w:t>zaliczyć Ministerstwo Finansów oraz Komisję Nadzoru Finansowego.</w:t>
      </w:r>
    </w:p>
    <w:p w:rsidR="00D125DA" w:rsidRDefault="00D125DA" w:rsidP="007B6ED3">
      <w:pPr>
        <w:jc w:val="both"/>
      </w:pPr>
    </w:p>
    <w:p w:rsidR="00C510E7" w:rsidRDefault="00C510E7" w:rsidP="007B6ED3">
      <w:pPr>
        <w:jc w:val="both"/>
      </w:pPr>
      <w:r>
        <w:t xml:space="preserve">W 2016 r. Krajowy Punkt Kontaktowy ds. programów </w:t>
      </w:r>
      <w:proofErr w:type="spellStart"/>
      <w:r>
        <w:t>twinning</w:t>
      </w:r>
      <w:proofErr w:type="spellEnd"/>
      <w:r>
        <w:t xml:space="preserve"> i TAIEX został poproszony przez Komisję Europejską o pomoc w technicznej selekcji kandydatów w ramach konkursu na doradców wysokiego szczebla dla rządu </w:t>
      </w:r>
      <w:r w:rsidR="00C820CA">
        <w:t xml:space="preserve">Republiki </w:t>
      </w:r>
      <w:r>
        <w:t>Mołdawii</w:t>
      </w:r>
      <w:r w:rsidR="00C820CA">
        <w:t xml:space="preserve"> (High Level </w:t>
      </w:r>
      <w:proofErr w:type="spellStart"/>
      <w:r w:rsidR="00D125DA">
        <w:t>Advisor</w:t>
      </w:r>
      <w:r w:rsidR="00C820CA">
        <w:t>s</w:t>
      </w:r>
      <w:proofErr w:type="spellEnd"/>
      <w:r w:rsidR="00C820CA">
        <w:t>)</w:t>
      </w:r>
      <w:r>
        <w:t>.</w:t>
      </w:r>
      <w:r w:rsidR="00C820CA">
        <w:t xml:space="preserve"> Celem konkursu było wyłonienie 26 doradców dla ścisłego kierownictwa kluczowych dla dialogu z </w:t>
      </w:r>
      <w:r w:rsidR="00803EFE">
        <w:t>Komisją</w:t>
      </w:r>
      <w:r w:rsidR="00C820CA">
        <w:t xml:space="preserve"> Europejską instytucji administracji publicznej Mołdawii.  Przesłano Komisji Europejskiej 22 zgłoszenia z Polski (wśród 473 zgłoszeń z całej UE). KE</w:t>
      </w:r>
      <w:r w:rsidR="00C868AE">
        <w:t xml:space="preserve"> wraz z beneficjentem</w:t>
      </w:r>
      <w:r w:rsidR="00C820CA">
        <w:t xml:space="preserve"> zdecydowała o wyborze jednego doradcy z</w:t>
      </w:r>
      <w:r w:rsidR="00C868AE">
        <w:t> </w:t>
      </w:r>
      <w:r w:rsidR="00C820CA">
        <w:t>Polski w dziedzinie walki z korupcją.</w:t>
      </w:r>
      <w:r w:rsidR="00C868AE">
        <w:rPr>
          <w:rStyle w:val="Odwoanieprzypisudolnego"/>
        </w:rPr>
        <w:footnoteReference w:id="10"/>
      </w:r>
      <w:r w:rsidR="00C820CA">
        <w:t xml:space="preserve"> Najwięcej doradców dla rządu republiki Mołd</w:t>
      </w:r>
      <w:r w:rsidR="00D125DA">
        <w:t>awii wyłoniono spośród</w:t>
      </w:r>
      <w:r w:rsidR="00C820CA">
        <w:t xml:space="preserve"> </w:t>
      </w:r>
      <w:r w:rsidR="00D125DA">
        <w:t>kandydatów zgłoszonych przez Litwę</w:t>
      </w:r>
      <w:r w:rsidR="00C820CA">
        <w:t xml:space="preserve"> – </w:t>
      </w:r>
      <w:r w:rsidR="00C868AE">
        <w:t>pięć</w:t>
      </w:r>
      <w:r w:rsidR="00C820CA">
        <w:t xml:space="preserve"> osób.</w:t>
      </w:r>
    </w:p>
    <w:p w:rsidR="00C820CA" w:rsidRDefault="00C820CA" w:rsidP="007B6ED3">
      <w:pPr>
        <w:jc w:val="both"/>
      </w:pPr>
    </w:p>
    <w:p w:rsidR="00C820CA" w:rsidRDefault="00D125DA" w:rsidP="007B6ED3">
      <w:pPr>
        <w:jc w:val="both"/>
      </w:pPr>
      <w:r>
        <w:t>Kolejne</w:t>
      </w:r>
      <w:r w:rsidR="00C820CA">
        <w:t xml:space="preserve"> prezentacje</w:t>
      </w:r>
      <w:r>
        <w:t xml:space="preserve"> (dwie)</w:t>
      </w:r>
      <w:r w:rsidR="00C820CA">
        <w:t xml:space="preserve"> przedstawione przez przedstawicieli</w:t>
      </w:r>
      <w:r w:rsidR="00A71A2A">
        <w:t xml:space="preserve"> Instytutu B</w:t>
      </w:r>
      <w:r>
        <w:t>adań Publicznych realizującego dwa</w:t>
      </w:r>
      <w:r w:rsidR="00C820CA">
        <w:t xml:space="preserve"> projekty </w:t>
      </w:r>
      <w:proofErr w:type="spellStart"/>
      <w:r w:rsidR="00C820CA">
        <w:t>twinningowe</w:t>
      </w:r>
      <w:proofErr w:type="spellEnd"/>
      <w:r w:rsidR="00C820CA">
        <w:t xml:space="preserve"> dla Macedonii oraz</w:t>
      </w:r>
      <w:r w:rsidR="00585E91">
        <w:t xml:space="preserve"> przez Urzędu</w:t>
      </w:r>
      <w:r w:rsidR="00C820CA">
        <w:t xml:space="preserve"> Rejestracji Produktów</w:t>
      </w:r>
      <w:r w:rsidR="00F63D46">
        <w:t xml:space="preserve"> Leczniczych, Wyrobów Medycznych i Produktów </w:t>
      </w:r>
      <w:r w:rsidR="00A71A2A">
        <w:t>Biobójczych</w:t>
      </w:r>
      <w:r w:rsidR="00F63D46">
        <w:t xml:space="preserve"> real</w:t>
      </w:r>
      <w:r w:rsidR="00585E91">
        <w:t>izujących</w:t>
      </w:r>
      <w:r w:rsidR="00803EFE">
        <w:t xml:space="preserve"> projekt </w:t>
      </w:r>
      <w:proofErr w:type="spellStart"/>
      <w:r w:rsidR="00803EFE">
        <w:t>twinningowy</w:t>
      </w:r>
      <w:proofErr w:type="spellEnd"/>
      <w:r w:rsidR="00803EFE">
        <w:t xml:space="preserve"> w </w:t>
      </w:r>
      <w:r>
        <w:t>Mołdawii</w:t>
      </w:r>
      <w:r w:rsidR="00F63D46">
        <w:t xml:space="preserve"> </w:t>
      </w:r>
      <w:r w:rsidR="00A71A2A">
        <w:t>dotyczyły</w:t>
      </w:r>
      <w:r w:rsidR="00F63D46">
        <w:t xml:space="preserve"> technicznych </w:t>
      </w:r>
      <w:r w:rsidR="00A71A2A">
        <w:t>aspektów</w:t>
      </w:r>
      <w:r w:rsidR="00F63D46">
        <w:t xml:space="preserve"> ww</w:t>
      </w:r>
      <w:r w:rsidR="00A71A2A">
        <w:t>.</w:t>
      </w:r>
      <w:r w:rsidR="00F63D46">
        <w:t xml:space="preserve"> projektów i spotkały się z dużym zainteresowaniem uczestników konferencji.</w:t>
      </w:r>
    </w:p>
    <w:p w:rsidR="00ED3C4C" w:rsidRDefault="00ED3C4C" w:rsidP="007B6ED3">
      <w:pPr>
        <w:jc w:val="both"/>
      </w:pPr>
    </w:p>
    <w:p w:rsidR="00A71A2A" w:rsidRDefault="00A71A2A" w:rsidP="007B6ED3">
      <w:pPr>
        <w:jc w:val="both"/>
      </w:pPr>
      <w:r>
        <w:t xml:space="preserve"> Podczas konferencji wywiązała się dyskusja, </w:t>
      </w:r>
      <w:r w:rsidR="00803EFE">
        <w:t>w</w:t>
      </w:r>
      <w:r>
        <w:t xml:space="preserve"> której najczęściej padały następujące postulaty</w:t>
      </w:r>
      <w:r w:rsidR="00ED3C4C">
        <w:t>:</w:t>
      </w:r>
    </w:p>
    <w:p w:rsidR="00A71A2A" w:rsidRDefault="00ED3C4C" w:rsidP="007B6ED3">
      <w:pPr>
        <w:pStyle w:val="Akapitzlist"/>
        <w:numPr>
          <w:ilvl w:val="0"/>
          <w:numId w:val="1"/>
        </w:numPr>
        <w:jc w:val="both"/>
      </w:pPr>
      <w:r>
        <w:t>Sygnalizujące potrzebę</w:t>
      </w:r>
      <w:r w:rsidR="00A71A2A">
        <w:t xml:space="preserve"> opracowania przez DWR dokumentu o charakterze prawodawczym</w:t>
      </w:r>
      <w:r w:rsidR="00911254">
        <w:t>,</w:t>
      </w:r>
      <w:r w:rsidR="00A71A2A">
        <w:t xml:space="preserve"> regulującym zasady realizacji przez polskie </w:t>
      </w:r>
      <w:r w:rsidR="00911254">
        <w:t>instytucje</w:t>
      </w:r>
      <w:r w:rsidR="00A71A2A">
        <w:t xml:space="preserve"> projektów </w:t>
      </w:r>
      <w:proofErr w:type="spellStart"/>
      <w:r w:rsidR="00A71A2A">
        <w:t>twinni</w:t>
      </w:r>
      <w:r w:rsidR="00911254">
        <w:t>n</w:t>
      </w:r>
      <w:r w:rsidR="00A71A2A">
        <w:t>gowych</w:t>
      </w:r>
      <w:proofErr w:type="spellEnd"/>
      <w:r w:rsidR="00A71A2A">
        <w:t>.</w:t>
      </w:r>
      <w:r w:rsidR="00911254">
        <w:t xml:space="preserve"> </w:t>
      </w:r>
      <w:r w:rsidR="00C868AE">
        <w:t>W </w:t>
      </w:r>
      <w:r w:rsidR="00911254">
        <w:t xml:space="preserve">odpowiedzi na ww. postulat, mając na uwadze ewentualne prawno-organizacyjne następstwa wejścia w życie przedmiotowego dokumentu dla instytucji dotychczas realizujących projekty </w:t>
      </w:r>
      <w:proofErr w:type="spellStart"/>
      <w:r w:rsidR="00911254">
        <w:t>twinningowe</w:t>
      </w:r>
      <w:proofErr w:type="spellEnd"/>
      <w:r w:rsidR="00911254">
        <w:t xml:space="preserve"> DWR poprosiło zebranych o przedstawienie ww. </w:t>
      </w:r>
      <w:r>
        <w:t>postulatu</w:t>
      </w:r>
      <w:r w:rsidR="00911254">
        <w:t xml:space="preserve"> na piśmie.</w:t>
      </w:r>
    </w:p>
    <w:p w:rsidR="00A71A2A" w:rsidRDefault="00ED3C4C" w:rsidP="007B6ED3">
      <w:pPr>
        <w:pStyle w:val="Akapitzlist"/>
        <w:numPr>
          <w:ilvl w:val="0"/>
          <w:numId w:val="1"/>
        </w:numPr>
        <w:jc w:val="both"/>
      </w:pPr>
      <w:r>
        <w:t>Sygnalizujące p</w:t>
      </w:r>
      <w:r w:rsidR="00A71A2A">
        <w:t>otrzebę organizowania p</w:t>
      </w:r>
      <w:r w:rsidR="00AD1883">
        <w:t xml:space="preserve">rzez DWR spotkań szkoleniowych </w:t>
      </w:r>
      <w:r w:rsidR="00A71A2A">
        <w:t xml:space="preserve">dotyczących konkretnych aspektów realizacji projektów </w:t>
      </w:r>
      <w:proofErr w:type="spellStart"/>
      <w:r w:rsidR="00A71A2A">
        <w:t>twinningowych</w:t>
      </w:r>
      <w:proofErr w:type="spellEnd"/>
      <w:r w:rsidR="00A71A2A">
        <w:t>.</w:t>
      </w:r>
    </w:p>
    <w:p w:rsidR="00803AEC" w:rsidRDefault="00803EFE" w:rsidP="007B6ED3">
      <w:pPr>
        <w:pStyle w:val="Akapitzlist"/>
        <w:numPr>
          <w:ilvl w:val="0"/>
          <w:numId w:val="1"/>
        </w:numPr>
        <w:jc w:val="both"/>
      </w:pPr>
      <w:r>
        <w:t>Potrzebę</w:t>
      </w:r>
      <w:r w:rsidR="00A71A2A">
        <w:t xml:space="preserve"> kontynuowania, a nawet wzmocnienia dotychczasowego zaangażowania polskich placówek dyplomatycznych w promocję polskiej administracji publicznej w kontekście </w:t>
      </w:r>
      <w:r w:rsidR="00911254">
        <w:t>nawiązywania</w:t>
      </w:r>
      <w:r w:rsidR="00A71A2A">
        <w:t xml:space="preserve"> </w:t>
      </w:r>
      <w:r w:rsidR="00911254">
        <w:t>współpracy</w:t>
      </w:r>
      <w:r w:rsidR="00A71A2A">
        <w:t xml:space="preserve"> </w:t>
      </w:r>
      <w:proofErr w:type="spellStart"/>
      <w:r w:rsidR="00A71A2A">
        <w:t>twinningowej</w:t>
      </w:r>
      <w:proofErr w:type="spellEnd"/>
      <w:r w:rsidR="00A71A2A">
        <w:t xml:space="preserve"> w państwach beneficjentach.</w:t>
      </w:r>
      <w:bookmarkStart w:id="0" w:name="_GoBack"/>
      <w:bookmarkEnd w:id="0"/>
    </w:p>
    <w:p w:rsidR="00803AEC" w:rsidRDefault="00803AEC" w:rsidP="007B6ED3">
      <w:pPr>
        <w:jc w:val="both"/>
      </w:pPr>
    </w:p>
    <w:p w:rsidR="00803AEC" w:rsidRDefault="00803AEC" w:rsidP="007B6ED3">
      <w:pPr>
        <w:jc w:val="both"/>
      </w:pPr>
    </w:p>
    <w:p w:rsidR="00803AEC" w:rsidRDefault="00803AEC" w:rsidP="007B6ED3">
      <w:pPr>
        <w:jc w:val="both"/>
      </w:pPr>
    </w:p>
    <w:p w:rsidR="00803AEC" w:rsidRDefault="00803AEC" w:rsidP="007B6ED3">
      <w:pPr>
        <w:jc w:val="both"/>
      </w:pPr>
    </w:p>
    <w:p w:rsidR="00803AEC" w:rsidRDefault="00803AEC" w:rsidP="007B6ED3">
      <w:pPr>
        <w:jc w:val="both"/>
      </w:pPr>
    </w:p>
    <w:sectPr w:rsidR="00803A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E38" w:rsidRDefault="00296E38" w:rsidP="00102F27">
      <w:pPr>
        <w:spacing w:after="0" w:line="240" w:lineRule="auto"/>
      </w:pPr>
      <w:r>
        <w:separator/>
      </w:r>
    </w:p>
  </w:endnote>
  <w:endnote w:type="continuationSeparator" w:id="0">
    <w:p w:rsidR="00296E38" w:rsidRDefault="00296E38" w:rsidP="00102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E38" w:rsidRDefault="00296E38" w:rsidP="00102F27">
      <w:pPr>
        <w:spacing w:after="0" w:line="240" w:lineRule="auto"/>
      </w:pPr>
      <w:r>
        <w:separator/>
      </w:r>
    </w:p>
  </w:footnote>
  <w:footnote w:type="continuationSeparator" w:id="0">
    <w:p w:rsidR="00296E38" w:rsidRDefault="00296E38" w:rsidP="00102F27">
      <w:pPr>
        <w:spacing w:after="0" w:line="240" w:lineRule="auto"/>
      </w:pPr>
      <w:r>
        <w:continuationSeparator/>
      </w:r>
    </w:p>
  </w:footnote>
  <w:footnote w:id="1">
    <w:p w:rsidR="00591E4B" w:rsidRDefault="00591E4B">
      <w:pPr>
        <w:pStyle w:val="Tekstprzypisudolnego"/>
      </w:pPr>
      <w:r>
        <w:rPr>
          <w:rStyle w:val="Odwoanieprzypisudolnego"/>
        </w:rPr>
        <w:footnoteRef/>
      </w:r>
      <w:r>
        <w:t xml:space="preserve"> Opracowano na podstawie danych DWR</w:t>
      </w:r>
      <w:r w:rsidR="00803EFE">
        <w:t>.</w:t>
      </w:r>
    </w:p>
  </w:footnote>
  <w:footnote w:id="2">
    <w:p w:rsidR="00102F27" w:rsidRDefault="00102F27">
      <w:pPr>
        <w:pStyle w:val="Tekstprzypisudolnego"/>
      </w:pPr>
      <w:r>
        <w:rPr>
          <w:rStyle w:val="Odwoanieprzypisudolnego"/>
        </w:rPr>
        <w:footnoteRef/>
      </w:r>
      <w:r>
        <w:t xml:space="preserve"> Realizowane przez odpowiednio: Agencję Restrukturyzacji i Modernizacji Ro</w:t>
      </w:r>
      <w:r w:rsidR="00803EFE">
        <w:t>lnictwa oraz Urząd Rejestracji P</w:t>
      </w:r>
      <w:r>
        <w:t>roduktów Leczniczych, Wyrobów Medycznych i Produktów Biobójczych.</w:t>
      </w:r>
    </w:p>
  </w:footnote>
  <w:footnote w:id="3">
    <w:p w:rsidR="00102F27" w:rsidRDefault="00102F27">
      <w:pPr>
        <w:pStyle w:val="Tekstprzypisudolnego"/>
      </w:pPr>
      <w:r>
        <w:rPr>
          <w:rStyle w:val="Odwoanieprzypisudolnego"/>
        </w:rPr>
        <w:footnoteRef/>
      </w:r>
      <w:r>
        <w:t xml:space="preserve"> Realizowany przez Komendę Główną Straży Granicznej.</w:t>
      </w:r>
    </w:p>
  </w:footnote>
  <w:footnote w:id="4">
    <w:p w:rsidR="00102F27" w:rsidRDefault="00102F27">
      <w:pPr>
        <w:pStyle w:val="Tekstprzypisudolnego"/>
      </w:pPr>
      <w:r>
        <w:rPr>
          <w:rStyle w:val="Odwoanieprzypisudolnego"/>
        </w:rPr>
        <w:footnoteRef/>
      </w:r>
      <w:r>
        <w:t xml:space="preserve"> Realizowany przez Instytut Medycyny Pracy im. Prof., J. </w:t>
      </w:r>
      <w:proofErr w:type="spellStart"/>
      <w:r>
        <w:t>Nofera</w:t>
      </w:r>
      <w:proofErr w:type="spellEnd"/>
      <w:r>
        <w:t>.</w:t>
      </w:r>
    </w:p>
  </w:footnote>
  <w:footnote w:id="5">
    <w:p w:rsidR="00102F27" w:rsidRDefault="00102F27">
      <w:pPr>
        <w:pStyle w:val="Tekstprzypisudolnego"/>
      </w:pPr>
      <w:r>
        <w:rPr>
          <w:rStyle w:val="Odwoanieprzypisudolnego"/>
        </w:rPr>
        <w:footnoteRef/>
      </w:r>
      <w:r>
        <w:t xml:space="preserve"> Realizowany przez Centralne Laboratorium Kryminalistyczne Policji.</w:t>
      </w:r>
    </w:p>
  </w:footnote>
  <w:footnote w:id="6">
    <w:p w:rsidR="00102F27" w:rsidRDefault="00102F27">
      <w:pPr>
        <w:pStyle w:val="Tekstprzypisudolnego"/>
      </w:pPr>
      <w:r>
        <w:rPr>
          <w:rStyle w:val="Odwoanieprzypisudolnego"/>
        </w:rPr>
        <w:footnoteRef/>
      </w:r>
      <w:r>
        <w:t xml:space="preserve"> Projekt </w:t>
      </w:r>
      <w:r w:rsidR="00591E4B">
        <w:t>został</w:t>
      </w:r>
      <w:r>
        <w:t xml:space="preserve"> </w:t>
      </w:r>
      <w:r w:rsidR="00585E91">
        <w:t xml:space="preserve">wygrany </w:t>
      </w:r>
      <w:r w:rsidR="00591E4B">
        <w:t>przez Ministerstwo S</w:t>
      </w:r>
      <w:r>
        <w:t>praw Zagranic</w:t>
      </w:r>
      <w:r w:rsidR="00591E4B">
        <w:t>znych</w:t>
      </w:r>
      <w:r w:rsidR="00585E91">
        <w:t xml:space="preserve"> (jako młodszym partnerem) w konsorcjum z </w:t>
      </w:r>
      <w:r w:rsidR="00591E4B">
        <w:t>Niemcami i </w:t>
      </w:r>
      <w:r>
        <w:t>Chorwac</w:t>
      </w:r>
      <w:r w:rsidR="00585E91">
        <w:t xml:space="preserve">ją. </w:t>
      </w:r>
    </w:p>
  </w:footnote>
  <w:footnote w:id="7">
    <w:p w:rsidR="00591E4B" w:rsidRDefault="00591E4B">
      <w:pPr>
        <w:pStyle w:val="Tekstprzypisudolnego"/>
      </w:pPr>
      <w:r>
        <w:rPr>
          <w:rStyle w:val="Odwoanieprzypisudolnego"/>
        </w:rPr>
        <w:footnoteRef/>
      </w:r>
      <w:r>
        <w:t xml:space="preserve"> Pierwszy projekt miałby dotyczyć obszaru zainteresowania Narodowego Banku Polskiego</w:t>
      </w:r>
      <w:r w:rsidR="00803EFE">
        <w:t>.</w:t>
      </w:r>
    </w:p>
  </w:footnote>
  <w:footnote w:id="8">
    <w:p w:rsidR="00591E4B" w:rsidRDefault="00591E4B">
      <w:pPr>
        <w:pStyle w:val="Tekstprzypisudolnego"/>
      </w:pPr>
      <w:r>
        <w:rPr>
          <w:rStyle w:val="Odwoanieprzypisudolnego"/>
        </w:rPr>
        <w:footnoteRef/>
      </w:r>
      <w:r>
        <w:t xml:space="preserve"> Opracowano na podstawie danych Komisji Europejskiej.</w:t>
      </w:r>
    </w:p>
  </w:footnote>
  <w:footnote w:id="9">
    <w:p w:rsidR="00591E4B" w:rsidRDefault="00591E4B">
      <w:pPr>
        <w:pStyle w:val="Tekstprzypisudolnego"/>
      </w:pPr>
      <w:r>
        <w:rPr>
          <w:rStyle w:val="Odwoanieprzypisudolnego"/>
        </w:rPr>
        <w:footnoteRef/>
      </w:r>
      <w:r>
        <w:t xml:space="preserve"> Opracowano na podstawie danych Komisji Europejskiej.</w:t>
      </w:r>
    </w:p>
  </w:footnote>
  <w:footnote w:id="10">
    <w:p w:rsidR="00C868AE" w:rsidRDefault="00C868AE">
      <w:pPr>
        <w:pStyle w:val="Tekstprzypisudolnego"/>
      </w:pPr>
      <w:r>
        <w:rPr>
          <w:rStyle w:val="Odwoanieprzypisudolnego"/>
        </w:rPr>
        <w:footnoteRef/>
      </w:r>
      <w:r>
        <w:t xml:space="preserve"> Został nim pan Paweł </w:t>
      </w:r>
      <w:proofErr w:type="spellStart"/>
      <w:r>
        <w:t>Wojtunik</w:t>
      </w:r>
      <w:proofErr w:type="spellEnd"/>
      <w:r>
        <w:t xml:space="preserve"> były szef CBA</w:t>
      </w:r>
      <w:r w:rsidR="00803EFE"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7075C"/>
    <w:multiLevelType w:val="hybridMultilevel"/>
    <w:tmpl w:val="2BE414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353D67"/>
    <w:multiLevelType w:val="hybridMultilevel"/>
    <w:tmpl w:val="8C6236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E32"/>
    <w:rsid w:val="00102F27"/>
    <w:rsid w:val="00143138"/>
    <w:rsid w:val="001945A8"/>
    <w:rsid w:val="001A63ED"/>
    <w:rsid w:val="00204141"/>
    <w:rsid w:val="00296E38"/>
    <w:rsid w:val="0033237A"/>
    <w:rsid w:val="0048729C"/>
    <w:rsid w:val="00547B0A"/>
    <w:rsid w:val="00557CC3"/>
    <w:rsid w:val="00585E91"/>
    <w:rsid w:val="00591E4B"/>
    <w:rsid w:val="005A0A1A"/>
    <w:rsid w:val="0060412B"/>
    <w:rsid w:val="006C2606"/>
    <w:rsid w:val="006D7999"/>
    <w:rsid w:val="00783E32"/>
    <w:rsid w:val="007B6ED3"/>
    <w:rsid w:val="007D281F"/>
    <w:rsid w:val="007F0CE7"/>
    <w:rsid w:val="007F4568"/>
    <w:rsid w:val="00803AEC"/>
    <w:rsid w:val="00803EFE"/>
    <w:rsid w:val="008076EF"/>
    <w:rsid w:val="008915B4"/>
    <w:rsid w:val="008A083A"/>
    <w:rsid w:val="00911254"/>
    <w:rsid w:val="00952B07"/>
    <w:rsid w:val="009949E3"/>
    <w:rsid w:val="00A71A2A"/>
    <w:rsid w:val="00A758F8"/>
    <w:rsid w:val="00AD1883"/>
    <w:rsid w:val="00BA1D49"/>
    <w:rsid w:val="00C510E7"/>
    <w:rsid w:val="00C6564A"/>
    <w:rsid w:val="00C76E5B"/>
    <w:rsid w:val="00C820CA"/>
    <w:rsid w:val="00C868AE"/>
    <w:rsid w:val="00CA5C6E"/>
    <w:rsid w:val="00CB1A81"/>
    <w:rsid w:val="00D125DA"/>
    <w:rsid w:val="00DD23DD"/>
    <w:rsid w:val="00DE73ED"/>
    <w:rsid w:val="00E41440"/>
    <w:rsid w:val="00ED3C4C"/>
    <w:rsid w:val="00F63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03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3AE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71A2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02F2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02F2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02F2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D23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23D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23D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23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23D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03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3AE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71A2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02F2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02F2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02F2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D23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23D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23D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23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23D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5" Type="http://schemas.openxmlformats.org/officeDocument/2006/relationships/settings" Target="settings.xml"/><Relationship Id="rId10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1.bin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2.bin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28"/>
    </mc:Choice>
    <mc:Fallback>
      <c:style val="28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9.162729658792651E-2"/>
          <c:y val="0.27208628431236404"/>
          <c:w val="0.88337270341207352"/>
          <c:h val="0.53360922094153584"/>
        </c:manualLayout>
      </c:layout>
      <c:lineChart>
        <c:grouping val="stacked"/>
        <c:varyColors val="0"/>
        <c:ser>
          <c:idx val="1"/>
          <c:order val="0"/>
          <c:tx>
            <c:strRef>
              <c:f>'[Stat Poland (4).xlsx]Stats'!$Q$31:$W$31</c:f>
              <c:strCache>
                <c:ptCount val="1"/>
                <c:pt idx="0">
                  <c:v>209 156 180 198 144 172 70</c:v>
                </c:pt>
              </c:strCache>
            </c:strRef>
          </c:tx>
          <c:cat>
            <c:numRef>
              <c:f>'[Stat Poland (4).xlsx]Stats'!$Q$30:$W$30</c:f>
              <c:numCache>
                <c:formatCode>General</c:formatCode>
                <c:ptCount val="7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</c:numCache>
            </c:numRef>
          </c:cat>
          <c:val>
            <c:numRef>
              <c:f>'[Stat Poland (4).xlsx]Stats'!$Q$31:$W$31</c:f>
              <c:numCache>
                <c:formatCode>General</c:formatCode>
                <c:ptCount val="7"/>
                <c:pt idx="0">
                  <c:v>209</c:v>
                </c:pt>
                <c:pt idx="1">
                  <c:v>156</c:v>
                </c:pt>
                <c:pt idx="2">
                  <c:v>180</c:v>
                </c:pt>
                <c:pt idx="3">
                  <c:v>198</c:v>
                </c:pt>
                <c:pt idx="4">
                  <c:v>144</c:v>
                </c:pt>
                <c:pt idx="5">
                  <c:v>172</c:v>
                </c:pt>
                <c:pt idx="6">
                  <c:v>70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24551936"/>
        <c:axId val="124553472"/>
      </c:lineChart>
      <c:catAx>
        <c:axId val="12455193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24553472"/>
        <c:crosses val="autoZero"/>
        <c:auto val="1"/>
        <c:lblAlgn val="ctr"/>
        <c:lblOffset val="100"/>
        <c:noMultiLvlLbl val="0"/>
      </c:catAx>
      <c:valAx>
        <c:axId val="124553472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24551936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27"/>
    </mc:Choice>
    <mc:Fallback>
      <c:style val="27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1395331610179132"/>
          <c:y val="0.22275906302023646"/>
          <c:w val="0.87596702549545091"/>
          <c:h val="0.62719778535485726"/>
        </c:manualLayout>
      </c:layout>
      <c:lineChart>
        <c:grouping val="standard"/>
        <c:varyColors val="0"/>
        <c:ser>
          <c:idx val="0"/>
          <c:order val="0"/>
          <c:dLbls>
            <c:txPr>
              <a:bodyPr/>
              <a:lstStyle/>
              <a:p>
                <a:pPr>
                  <a:defRPr sz="1000"/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'[Stat Poland (4).xlsx]Stats'!$Q$2:$W$2</c:f>
              <c:strCache>
                <c:ptCount val="7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</c:strCache>
            </c:strRef>
          </c:cat>
          <c:val>
            <c:numRef>
              <c:f>'[Stat Poland (4).xlsx]Stats'!$Q$26:$W$26</c:f>
              <c:numCache>
                <c:formatCode>General</c:formatCode>
                <c:ptCount val="7"/>
                <c:pt idx="0">
                  <c:v>15</c:v>
                </c:pt>
                <c:pt idx="1">
                  <c:v>20</c:v>
                </c:pt>
                <c:pt idx="2">
                  <c:v>26</c:v>
                </c:pt>
                <c:pt idx="3">
                  <c:v>33</c:v>
                </c:pt>
                <c:pt idx="4">
                  <c:v>17</c:v>
                </c:pt>
                <c:pt idx="5">
                  <c:v>18</c:v>
                </c:pt>
                <c:pt idx="6">
                  <c:v>9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24560896"/>
        <c:axId val="124580224"/>
      </c:lineChart>
      <c:catAx>
        <c:axId val="1245608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1000"/>
            </a:pPr>
            <a:endParaRPr lang="pl-PL"/>
          </a:p>
        </c:txPr>
        <c:crossAx val="124580224"/>
        <c:crosses val="autoZero"/>
        <c:auto val="1"/>
        <c:lblAlgn val="ctr"/>
        <c:lblOffset val="100"/>
        <c:noMultiLvlLbl val="0"/>
      </c:catAx>
      <c:valAx>
        <c:axId val="124580224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1000"/>
            </a:pPr>
            <a:endParaRPr lang="pl-PL"/>
          </a:p>
        </c:txPr>
        <c:crossAx val="124560896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800"/>
      </a:pPr>
      <a:endParaRPr lang="pl-PL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Aerodynamiczny">
    <a:fillStyleLst>
      <a:solidFill>
        <a:schemeClr val="phClr"/>
      </a:solidFill>
      <a:gradFill rotWithShape="1">
        <a:gsLst>
          <a:gs pos="28000">
            <a:schemeClr val="phClr">
              <a:tint val="18000"/>
              <a:satMod val="120000"/>
              <a:lumMod val="88000"/>
            </a:schemeClr>
          </a:gs>
          <a:gs pos="100000">
            <a:schemeClr val="phClr">
              <a:tint val="40000"/>
              <a:satMod val="100000"/>
              <a:lumMod val="78000"/>
            </a:schemeClr>
          </a:gs>
        </a:gsLst>
        <a:lin ang="5400000" scaled="0"/>
      </a:gradFill>
      <a:gradFill rotWithShape="1">
        <a:gsLst>
          <a:gs pos="0">
            <a:schemeClr val="phClr">
              <a:lumMod val="95000"/>
            </a:schemeClr>
          </a:gs>
          <a:gs pos="100000">
            <a:schemeClr val="phClr">
              <a:shade val="82000"/>
              <a:satMod val="125000"/>
              <a:lumMod val="74000"/>
            </a:schemeClr>
          </a:gs>
        </a:gsLst>
        <a:lin ang="5400000" scaled="0"/>
      </a:gradFill>
    </a:fillStyleLst>
    <a:lnStyleLst>
      <a:ln w="9525" cap="flat" cmpd="sng" algn="ctr">
        <a:solidFill>
          <a:schemeClr val="phClr"/>
        </a:solidFill>
        <a:prstDash val="solid"/>
      </a:ln>
      <a:ln w="15875" cap="flat" cmpd="sng" algn="ctr">
        <a:solidFill>
          <a:schemeClr val="phClr">
            <a:shade val="75000"/>
            <a:satMod val="125000"/>
            <a:lumMod val="7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63500" dist="50800" dir="5400000" sx="98000" sy="98000" rotWithShape="0">
            <a:srgbClr val="000000">
              <a:alpha val="20000"/>
            </a:srgbClr>
          </a:outerShdw>
        </a:effectLst>
      </a:effectStyle>
      <a:effectStyle>
        <a:effectLst>
          <a:outerShdw blurRad="40005" dist="22984" dir="5400000" rotWithShape="0">
            <a:srgbClr val="000000">
              <a:alpha val="45000"/>
            </a:srgbClr>
          </a:outerShdw>
        </a:effectLst>
        <a:scene3d>
          <a:camera prst="orthographicFront">
            <a:rot lat="0" lon="0" rev="0"/>
          </a:camera>
          <a:lightRig rig="balanced" dir="tr"/>
        </a:scene3d>
        <a:sp3d prstMaterial="matte">
          <a:bevelT w="19050" h="38100"/>
        </a:sp3d>
      </a:effectStyle>
      <a:effectStyle>
        <a:effectLst>
          <a:reflection blurRad="38100" stA="26000" endPos="23000" dist="25400" dir="5400000" sy="-100000" rotWithShape="0"/>
        </a:effectLst>
        <a:scene3d>
          <a:camera prst="orthographicFront">
            <a:rot lat="0" lon="0" rev="0"/>
          </a:camera>
          <a:lightRig rig="balanced" dir="tr"/>
        </a:scene3d>
        <a:sp3d contourW="14605" prstMaterial="plastic">
          <a:bevelT w="50800"/>
          <a:contourClr>
            <a:schemeClr val="phClr">
              <a:shade val="30000"/>
              <a:satMod val="120000"/>
            </a:schemeClr>
          </a:contourClr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Aerodynamiczny">
    <a:fillStyleLst>
      <a:solidFill>
        <a:schemeClr val="phClr"/>
      </a:solidFill>
      <a:gradFill rotWithShape="1">
        <a:gsLst>
          <a:gs pos="28000">
            <a:schemeClr val="phClr">
              <a:tint val="18000"/>
              <a:satMod val="120000"/>
              <a:lumMod val="88000"/>
            </a:schemeClr>
          </a:gs>
          <a:gs pos="100000">
            <a:schemeClr val="phClr">
              <a:tint val="40000"/>
              <a:satMod val="100000"/>
              <a:lumMod val="78000"/>
            </a:schemeClr>
          </a:gs>
        </a:gsLst>
        <a:lin ang="5400000" scaled="0"/>
      </a:gradFill>
      <a:gradFill rotWithShape="1">
        <a:gsLst>
          <a:gs pos="0">
            <a:schemeClr val="phClr">
              <a:lumMod val="95000"/>
            </a:schemeClr>
          </a:gs>
          <a:gs pos="100000">
            <a:schemeClr val="phClr">
              <a:shade val="82000"/>
              <a:satMod val="125000"/>
              <a:lumMod val="74000"/>
            </a:schemeClr>
          </a:gs>
        </a:gsLst>
        <a:lin ang="5400000" scaled="0"/>
      </a:gradFill>
    </a:fillStyleLst>
    <a:lnStyleLst>
      <a:ln w="9525" cap="flat" cmpd="sng" algn="ctr">
        <a:solidFill>
          <a:schemeClr val="phClr"/>
        </a:solidFill>
        <a:prstDash val="solid"/>
      </a:ln>
      <a:ln w="15875" cap="flat" cmpd="sng" algn="ctr">
        <a:solidFill>
          <a:schemeClr val="phClr">
            <a:shade val="75000"/>
            <a:satMod val="125000"/>
            <a:lumMod val="7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63500" dist="50800" dir="5400000" sx="98000" sy="98000" rotWithShape="0">
            <a:srgbClr val="000000">
              <a:alpha val="20000"/>
            </a:srgbClr>
          </a:outerShdw>
        </a:effectLst>
      </a:effectStyle>
      <a:effectStyle>
        <a:effectLst>
          <a:outerShdw blurRad="40005" dist="22984" dir="5400000" rotWithShape="0">
            <a:srgbClr val="000000">
              <a:alpha val="45000"/>
            </a:srgbClr>
          </a:outerShdw>
        </a:effectLst>
        <a:scene3d>
          <a:camera prst="orthographicFront">
            <a:rot lat="0" lon="0" rev="0"/>
          </a:camera>
          <a:lightRig rig="balanced" dir="tr"/>
        </a:scene3d>
        <a:sp3d prstMaterial="matte">
          <a:bevelT w="19050" h="38100"/>
        </a:sp3d>
      </a:effectStyle>
      <a:effectStyle>
        <a:effectLst>
          <a:reflection blurRad="38100" stA="26000" endPos="23000" dist="25400" dir="5400000" sy="-100000" rotWithShape="0"/>
        </a:effectLst>
        <a:scene3d>
          <a:camera prst="orthographicFront">
            <a:rot lat="0" lon="0" rev="0"/>
          </a:camera>
          <a:lightRig rig="balanced" dir="tr"/>
        </a:scene3d>
        <a:sp3d contourW="14605" prstMaterial="plastic">
          <a:bevelT w="50800"/>
          <a:contourClr>
            <a:schemeClr val="phClr">
              <a:shade val="30000"/>
              <a:satMod val="120000"/>
            </a:schemeClr>
          </a:contourClr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68347-E101-44B7-8F6A-F07928E8C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655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Gołębiowski Wojciech</dc:creator>
  <cp:lastModifiedBy>Gołębiowski Wojciech</cp:lastModifiedBy>
  <cp:revision>2</cp:revision>
  <dcterms:created xsi:type="dcterms:W3CDTF">2016-11-08T10:43:00Z</dcterms:created>
  <dcterms:modified xsi:type="dcterms:W3CDTF">2016-11-08T10:43:00Z</dcterms:modified>
</cp:coreProperties>
</file>