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A" w:rsidRPr="0061153B" w:rsidRDefault="00106BAD" w:rsidP="005158CA">
      <w:pPr>
        <w:ind w:left="6372"/>
      </w:pPr>
      <w:r>
        <w:t>Warszawa, 15</w:t>
      </w:r>
      <w:r w:rsidR="005158CA" w:rsidRPr="0061153B">
        <w:t xml:space="preserve"> stycznia 2018 r.</w:t>
      </w:r>
    </w:p>
    <w:p w:rsidR="00B54C26" w:rsidRDefault="00B54C26" w:rsidP="00B54C26">
      <w:pPr>
        <w:rPr>
          <w:u w:val="single"/>
        </w:rPr>
      </w:pPr>
    </w:p>
    <w:p w:rsidR="00146F23" w:rsidRDefault="00146F23" w:rsidP="00B54C26">
      <w:pPr>
        <w:rPr>
          <w:u w:val="single"/>
        </w:rPr>
      </w:pPr>
    </w:p>
    <w:p w:rsidR="00106BAD" w:rsidRDefault="00106BAD" w:rsidP="00B54C26">
      <w:pPr>
        <w:rPr>
          <w:u w:val="single"/>
        </w:rPr>
      </w:pPr>
    </w:p>
    <w:p w:rsidR="00E527BC" w:rsidRDefault="00106BAD" w:rsidP="00B54C26">
      <w:pPr>
        <w:rPr>
          <w:u w:val="single"/>
        </w:rPr>
      </w:pPr>
      <w:r>
        <w:rPr>
          <w:u w:val="single"/>
        </w:rPr>
        <w:t>Informacja  -  współpraca bliźniacza w Polsce</w:t>
      </w:r>
      <w:r w:rsidR="00DF30FB" w:rsidRPr="0061153B">
        <w:rPr>
          <w:u w:val="single"/>
        </w:rPr>
        <w:t xml:space="preserve"> (ang. twinning)</w:t>
      </w:r>
      <w:r w:rsidR="00DF30FB" w:rsidRPr="0061153B">
        <w:rPr>
          <w:rStyle w:val="Odwoanieprzypisudolnego"/>
          <w:u w:val="single"/>
        </w:rPr>
        <w:footnoteReference w:id="1"/>
      </w:r>
      <w:r w:rsidR="005158CA" w:rsidRPr="0061153B">
        <w:rPr>
          <w:u w:val="single"/>
        </w:rPr>
        <w:t xml:space="preserve"> w 2017 r.</w:t>
      </w:r>
    </w:p>
    <w:p w:rsidR="00146F23" w:rsidRDefault="00146F23" w:rsidP="00B54C26">
      <w:pPr>
        <w:rPr>
          <w:u w:val="single"/>
        </w:rPr>
      </w:pPr>
    </w:p>
    <w:p w:rsidR="00106BAD" w:rsidRDefault="00106BAD" w:rsidP="00B54C26">
      <w:pPr>
        <w:rPr>
          <w:u w:val="single"/>
        </w:rPr>
      </w:pPr>
    </w:p>
    <w:p w:rsidR="00106BAD" w:rsidRPr="0061153B" w:rsidRDefault="00106BAD" w:rsidP="00B54C26">
      <w:pPr>
        <w:rPr>
          <w:u w:val="single"/>
        </w:rPr>
      </w:pPr>
      <w:bookmarkStart w:id="0" w:name="_GoBack"/>
      <w:bookmarkEnd w:id="0"/>
    </w:p>
    <w:p w:rsidR="00DF30FB" w:rsidRPr="0061153B" w:rsidRDefault="004E63F5" w:rsidP="00756083">
      <w:pPr>
        <w:pStyle w:val="Akapitzlist"/>
        <w:numPr>
          <w:ilvl w:val="0"/>
          <w:numId w:val="3"/>
        </w:numPr>
        <w:jc w:val="both"/>
        <w:rPr>
          <w:b/>
        </w:rPr>
      </w:pPr>
      <w:r w:rsidRPr="0061153B">
        <w:rPr>
          <w:b/>
        </w:rPr>
        <w:t>Przygotowane oferty i wygrane projekty twinningowe przez polskie instytucje publiczne.</w:t>
      </w:r>
    </w:p>
    <w:p w:rsidR="005158CA" w:rsidRPr="0061153B" w:rsidRDefault="00DF30FB" w:rsidP="00756083">
      <w:pPr>
        <w:jc w:val="both"/>
      </w:pPr>
      <w:r w:rsidRPr="0061153B">
        <w:t>W 2017 r. polskie instytucje publiczne przygotowały osiem propozycji twinningowych</w:t>
      </w:r>
      <w:r w:rsidR="00565A3B" w:rsidRPr="0061153B">
        <w:t xml:space="preserve"> dla:</w:t>
      </w:r>
    </w:p>
    <w:p w:rsidR="00F35C9A" w:rsidRPr="0061153B" w:rsidRDefault="00F35C9A" w:rsidP="00756083">
      <w:pPr>
        <w:pStyle w:val="Akapitzlist"/>
        <w:numPr>
          <w:ilvl w:val="0"/>
          <w:numId w:val="1"/>
        </w:numPr>
        <w:jc w:val="both"/>
      </w:pPr>
      <w:r w:rsidRPr="0061153B">
        <w:t xml:space="preserve">Białorusi </w:t>
      </w:r>
      <w:r w:rsidR="00565A3B" w:rsidRPr="0061153B">
        <w:t>-</w:t>
      </w:r>
      <w:r w:rsidRPr="0061153B">
        <w:t xml:space="preserve"> Narodowy Bank Polski;</w:t>
      </w:r>
    </w:p>
    <w:p w:rsidR="00F35C9A" w:rsidRPr="0061153B" w:rsidRDefault="00F35C9A" w:rsidP="00756083">
      <w:pPr>
        <w:pStyle w:val="Akapitzlist"/>
        <w:numPr>
          <w:ilvl w:val="0"/>
          <w:numId w:val="1"/>
        </w:numPr>
        <w:jc w:val="both"/>
      </w:pPr>
      <w:r w:rsidRPr="0061153B">
        <w:t xml:space="preserve">Czarnogóry </w:t>
      </w:r>
      <w:r w:rsidR="00565A3B" w:rsidRPr="0061153B">
        <w:t>-</w:t>
      </w:r>
      <w:r w:rsidRPr="0061153B">
        <w:t xml:space="preserve"> Urząd Komisji Nadzoru Finansowego</w:t>
      </w:r>
      <w:r w:rsidR="00B54C26">
        <w:t>;</w:t>
      </w:r>
    </w:p>
    <w:p w:rsidR="00F35C9A" w:rsidRPr="0061153B" w:rsidRDefault="00F35C9A" w:rsidP="00756083">
      <w:pPr>
        <w:pStyle w:val="Akapitzlist"/>
        <w:numPr>
          <w:ilvl w:val="0"/>
          <w:numId w:val="1"/>
        </w:numPr>
        <w:jc w:val="both"/>
      </w:pPr>
      <w:r w:rsidRPr="0061153B">
        <w:t xml:space="preserve">Gruzji </w:t>
      </w:r>
      <w:r w:rsidR="00565A3B" w:rsidRPr="0061153B">
        <w:t>-</w:t>
      </w:r>
      <w:r w:rsidRPr="0061153B">
        <w:t xml:space="preserve"> trzy projekty przygotowane </w:t>
      </w:r>
      <w:r w:rsidR="00B54C26">
        <w:t xml:space="preserve">osobno </w:t>
      </w:r>
      <w:r w:rsidRPr="0061153B">
        <w:t>przez: Ministerstwo Rozwoju, Ministerstwo Finansów, Urząd Komunikacji Elektronicznej</w:t>
      </w:r>
      <w:r w:rsidR="00B54C26">
        <w:t>;</w:t>
      </w:r>
    </w:p>
    <w:p w:rsidR="00F35C9A" w:rsidRPr="0061153B" w:rsidRDefault="00F35C9A" w:rsidP="00756083">
      <w:pPr>
        <w:pStyle w:val="Akapitzlist"/>
        <w:numPr>
          <w:ilvl w:val="0"/>
          <w:numId w:val="1"/>
        </w:numPr>
        <w:jc w:val="both"/>
      </w:pPr>
      <w:r w:rsidRPr="0061153B">
        <w:t xml:space="preserve">Izraela </w:t>
      </w:r>
      <w:r w:rsidR="00565A3B" w:rsidRPr="0061153B">
        <w:t>-</w:t>
      </w:r>
      <w:r w:rsidRPr="0061153B">
        <w:t xml:space="preserve"> In</w:t>
      </w:r>
      <w:r w:rsidR="00B54C26">
        <w:t>stytut B</w:t>
      </w:r>
      <w:r w:rsidRPr="0061153B">
        <w:t>adań Edukacyjnych</w:t>
      </w:r>
      <w:r w:rsidR="00B54C26">
        <w:t>;</w:t>
      </w:r>
    </w:p>
    <w:p w:rsidR="00F35C9A" w:rsidRPr="0061153B" w:rsidRDefault="00F35C9A" w:rsidP="00756083">
      <w:pPr>
        <w:pStyle w:val="Akapitzlist"/>
        <w:numPr>
          <w:ilvl w:val="0"/>
          <w:numId w:val="1"/>
        </w:numPr>
        <w:jc w:val="both"/>
      </w:pPr>
      <w:r w:rsidRPr="0061153B">
        <w:t xml:space="preserve">Kosowa </w:t>
      </w:r>
      <w:r w:rsidR="00565A3B" w:rsidRPr="0061153B">
        <w:t>-</w:t>
      </w:r>
      <w:r w:rsidR="00B54C26">
        <w:t xml:space="preserve"> Najwyższą Izbę</w:t>
      </w:r>
      <w:r w:rsidRPr="0061153B">
        <w:t xml:space="preserve"> Kontroli</w:t>
      </w:r>
      <w:r w:rsidR="00B54C26">
        <w:t>;</w:t>
      </w:r>
    </w:p>
    <w:p w:rsidR="00F35C9A" w:rsidRPr="0061153B" w:rsidRDefault="00565A3B" w:rsidP="00756083">
      <w:pPr>
        <w:pStyle w:val="Akapitzlist"/>
        <w:numPr>
          <w:ilvl w:val="0"/>
          <w:numId w:val="1"/>
        </w:numPr>
        <w:jc w:val="both"/>
      </w:pPr>
      <w:r w:rsidRPr="0061153B">
        <w:t>Macedonii - Instytut Ekonomiki Rolnictwa i Gospodarki Żywnościowej</w:t>
      </w:r>
      <w:r w:rsidR="006F2F16">
        <w:t>.</w:t>
      </w:r>
    </w:p>
    <w:p w:rsidR="00F35C9A" w:rsidRPr="0061153B" w:rsidRDefault="006F2F16" w:rsidP="00756083">
      <w:pPr>
        <w:jc w:val="both"/>
      </w:pPr>
      <w:r>
        <w:t>Z powyższych</w:t>
      </w:r>
      <w:r w:rsidR="00565A3B" w:rsidRPr="0061153B">
        <w:t xml:space="preserve"> propozycji beneficjenci pomocy </w:t>
      </w:r>
      <w:r>
        <w:t>wybrali</w:t>
      </w:r>
      <w:r w:rsidR="00565A3B" w:rsidRPr="0061153B">
        <w:t xml:space="preserve"> do realizacji następujących </w:t>
      </w:r>
      <w:r w:rsidRPr="0061153B">
        <w:t xml:space="preserve">sześć </w:t>
      </w:r>
      <w:r w:rsidR="00565A3B" w:rsidRPr="0061153B">
        <w:t>projektów dla:</w:t>
      </w:r>
    </w:p>
    <w:p w:rsidR="006363BA" w:rsidRPr="0061153B" w:rsidRDefault="00565A3B" w:rsidP="00756083">
      <w:pPr>
        <w:pStyle w:val="Akapitzlist"/>
        <w:numPr>
          <w:ilvl w:val="0"/>
          <w:numId w:val="2"/>
        </w:numPr>
        <w:jc w:val="both"/>
      </w:pPr>
      <w:r w:rsidRPr="0061153B">
        <w:t>Białorusi</w:t>
      </w:r>
      <w:r w:rsidR="00F35C9A" w:rsidRPr="0061153B">
        <w:t xml:space="preserve"> </w:t>
      </w:r>
      <w:r w:rsidR="00756083" w:rsidRPr="0061153B">
        <w:t>-</w:t>
      </w:r>
      <w:r w:rsidR="00F35C9A" w:rsidRPr="0061153B">
        <w:t xml:space="preserve"> </w:t>
      </w:r>
      <w:r w:rsidR="006363BA" w:rsidRPr="0061153B">
        <w:t>Narodowy Bank Polski</w:t>
      </w:r>
      <w:r w:rsidRPr="0061153B">
        <w:t>,</w:t>
      </w:r>
      <w:r w:rsidR="006F2F16" w:rsidRPr="006F2F16">
        <w:t xml:space="preserve"> </w:t>
      </w:r>
      <w:r w:rsidR="006F2F16" w:rsidRPr="0061153B">
        <w:t>(</w:t>
      </w:r>
      <w:r w:rsidR="006F2F16">
        <w:t xml:space="preserve">jako </w:t>
      </w:r>
      <w:r w:rsidR="006F2F16" w:rsidRPr="0061153B">
        <w:t xml:space="preserve">młodszy partner w konsorcjum z Niemcami i Litwą), </w:t>
      </w:r>
      <w:r w:rsidR="00F35C9A" w:rsidRPr="0061153B">
        <w:t xml:space="preserve"> projekt:</w:t>
      </w:r>
      <w:r w:rsidR="006363BA" w:rsidRPr="0061153B">
        <w:t xml:space="preserve"> </w:t>
      </w:r>
      <w:r w:rsidR="006363BA" w:rsidRPr="006F2F16">
        <w:rPr>
          <w:i/>
        </w:rPr>
        <w:t>Strengthening the National Bank of Belarus</w:t>
      </w:r>
      <w:r w:rsidR="006F2F16">
        <w:rPr>
          <w:i/>
        </w:rPr>
        <w:t>,</w:t>
      </w:r>
      <w:r w:rsidR="006363BA" w:rsidRPr="0061153B">
        <w:t xml:space="preserve"> </w:t>
      </w:r>
      <w:r w:rsidRPr="0061153B">
        <w:t>budżet: 1 150 000 euro;</w:t>
      </w:r>
    </w:p>
    <w:p w:rsidR="006363BA" w:rsidRPr="0061153B" w:rsidRDefault="00F35C9A" w:rsidP="00756083">
      <w:pPr>
        <w:pStyle w:val="Akapitzlist"/>
        <w:numPr>
          <w:ilvl w:val="0"/>
          <w:numId w:val="2"/>
        </w:numPr>
        <w:jc w:val="both"/>
      </w:pPr>
      <w:r w:rsidRPr="0061153B">
        <w:t>Gruzj</w:t>
      </w:r>
      <w:r w:rsidR="00565A3B" w:rsidRPr="0061153B">
        <w:t>i</w:t>
      </w:r>
      <w:r w:rsidRPr="0061153B">
        <w:t xml:space="preserve"> - Ministerstwo Rozwoju</w:t>
      </w:r>
      <w:r w:rsidR="006F2F16">
        <w:t xml:space="preserve"> (samodzielnie)</w:t>
      </w:r>
      <w:r w:rsidRPr="0061153B">
        <w:t>;</w:t>
      </w:r>
      <w:r w:rsidR="006F2F16">
        <w:t xml:space="preserve"> </w:t>
      </w:r>
      <w:r w:rsidRPr="0061153B">
        <w:t>projekt</w:t>
      </w:r>
      <w:r w:rsidR="006363BA" w:rsidRPr="0061153B">
        <w:t>:</w:t>
      </w:r>
      <w:r w:rsidR="00DF30FB" w:rsidRPr="0061153B">
        <w:t xml:space="preserve"> </w:t>
      </w:r>
      <w:r w:rsidR="00DF30FB" w:rsidRPr="006F2F16">
        <w:rPr>
          <w:i/>
        </w:rPr>
        <w:t>Improving Infrastructure Quality through Better Planning Systems</w:t>
      </w:r>
      <w:r w:rsidR="00565A3B" w:rsidRPr="0061153B">
        <w:t>, budżet: 1 500 000 euro;</w:t>
      </w:r>
    </w:p>
    <w:p w:rsidR="006363BA" w:rsidRPr="00652396" w:rsidRDefault="00565A3B" w:rsidP="00756083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652396">
        <w:rPr>
          <w:lang w:val="en-US"/>
        </w:rPr>
        <w:t>Gruzji</w:t>
      </w:r>
      <w:r w:rsidR="00F35C9A" w:rsidRPr="00652396">
        <w:rPr>
          <w:lang w:val="en-US"/>
        </w:rPr>
        <w:t xml:space="preserve"> - </w:t>
      </w:r>
      <w:r w:rsidR="006363BA" w:rsidRPr="00652396">
        <w:rPr>
          <w:lang w:val="en-US"/>
        </w:rPr>
        <w:t>Urząd Komunikacji Elektronicznej</w:t>
      </w:r>
      <w:r w:rsidR="006F2F16" w:rsidRPr="00652396">
        <w:rPr>
          <w:lang w:val="en-US"/>
        </w:rPr>
        <w:t>,</w:t>
      </w:r>
      <w:r w:rsidR="00F35C9A" w:rsidRPr="00652396">
        <w:rPr>
          <w:lang w:val="en-US"/>
        </w:rPr>
        <w:t xml:space="preserve"> </w:t>
      </w:r>
      <w:r w:rsidR="006F2F16" w:rsidRPr="00652396">
        <w:rPr>
          <w:lang w:val="en-US"/>
        </w:rPr>
        <w:t xml:space="preserve">(jako młodszy partner w konsorcjum z Litwą i Niemcami), </w:t>
      </w:r>
      <w:r w:rsidR="00F35C9A" w:rsidRPr="00652396">
        <w:rPr>
          <w:lang w:val="en-US"/>
        </w:rPr>
        <w:t>projekt</w:t>
      </w:r>
      <w:r w:rsidR="006363BA" w:rsidRPr="00652396">
        <w:rPr>
          <w:lang w:val="en-US"/>
        </w:rPr>
        <w:t xml:space="preserve">: </w:t>
      </w:r>
      <w:r w:rsidR="006363BA" w:rsidRPr="00652396">
        <w:rPr>
          <w:i/>
          <w:lang w:val="en-US"/>
        </w:rPr>
        <w:t>Supporting the Georgian National Communication Commission in Developing its Electronic Communications Regulatory Framework and Operational Capacities in Line with EU Regulatory Framework</w:t>
      </w:r>
      <w:r w:rsidR="006F2F16" w:rsidRPr="00652396">
        <w:rPr>
          <w:i/>
          <w:lang w:val="en-US"/>
        </w:rPr>
        <w:t>,</w:t>
      </w:r>
      <w:r w:rsidR="006363BA" w:rsidRPr="00652396">
        <w:rPr>
          <w:lang w:val="en-US"/>
        </w:rPr>
        <w:t xml:space="preserve"> </w:t>
      </w:r>
      <w:r w:rsidRPr="00652396">
        <w:rPr>
          <w:lang w:val="en-US"/>
        </w:rPr>
        <w:t xml:space="preserve"> budżet: 1 300 000 euro;</w:t>
      </w:r>
    </w:p>
    <w:p w:rsidR="006363BA" w:rsidRPr="00652396" w:rsidRDefault="00565A3B" w:rsidP="00756083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652396">
        <w:rPr>
          <w:lang w:val="en-US"/>
        </w:rPr>
        <w:t>Gruzji</w:t>
      </w:r>
      <w:r w:rsidR="00F35C9A" w:rsidRPr="00652396">
        <w:rPr>
          <w:lang w:val="en-US"/>
        </w:rPr>
        <w:t xml:space="preserve"> - </w:t>
      </w:r>
      <w:r w:rsidR="006363BA" w:rsidRPr="00652396">
        <w:rPr>
          <w:lang w:val="en-US"/>
        </w:rPr>
        <w:t>Ministerstwo Finansów</w:t>
      </w:r>
      <w:r w:rsidR="00F35C9A" w:rsidRPr="00652396">
        <w:rPr>
          <w:lang w:val="en-US"/>
        </w:rPr>
        <w:t>;</w:t>
      </w:r>
      <w:r w:rsidR="006F2F16" w:rsidRPr="00652396">
        <w:rPr>
          <w:lang w:val="en-US"/>
        </w:rPr>
        <w:t xml:space="preserve"> (jako młodszy partner w konsorcjum z Finlandią i Łotwą), </w:t>
      </w:r>
      <w:r w:rsidR="00F35C9A" w:rsidRPr="00652396">
        <w:rPr>
          <w:lang w:val="en-US"/>
        </w:rPr>
        <w:t xml:space="preserve"> projekt</w:t>
      </w:r>
      <w:r w:rsidR="006363BA" w:rsidRPr="00652396">
        <w:rPr>
          <w:lang w:val="en-US"/>
        </w:rPr>
        <w:t xml:space="preserve">: </w:t>
      </w:r>
      <w:r w:rsidR="006363BA" w:rsidRPr="00652396">
        <w:rPr>
          <w:i/>
          <w:lang w:val="en-US"/>
        </w:rPr>
        <w:t>Supporting the Accession of Georgia to the Conventions on Transit Area and Launching of the New Computerised Transit System</w:t>
      </w:r>
      <w:r w:rsidR="006F2F16" w:rsidRPr="00652396">
        <w:rPr>
          <w:i/>
          <w:lang w:val="en-US"/>
        </w:rPr>
        <w:t>,</w:t>
      </w:r>
      <w:r w:rsidR="006363BA" w:rsidRPr="00652396">
        <w:rPr>
          <w:lang w:val="en-US"/>
        </w:rPr>
        <w:t xml:space="preserve"> </w:t>
      </w:r>
      <w:r w:rsidRPr="00652396">
        <w:rPr>
          <w:lang w:val="en-US"/>
        </w:rPr>
        <w:t>budżet: 1 500 000 euro;</w:t>
      </w:r>
    </w:p>
    <w:p w:rsidR="006363BA" w:rsidRPr="00652396" w:rsidRDefault="00565A3B" w:rsidP="00756083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652396">
        <w:rPr>
          <w:lang w:val="en-US"/>
        </w:rPr>
        <w:lastRenderedPageBreak/>
        <w:t>Kosowa</w:t>
      </w:r>
      <w:r w:rsidR="00F35C9A" w:rsidRPr="00652396">
        <w:rPr>
          <w:lang w:val="en-US"/>
        </w:rPr>
        <w:t xml:space="preserve"> - </w:t>
      </w:r>
      <w:r w:rsidR="006363BA" w:rsidRPr="00652396">
        <w:rPr>
          <w:lang w:val="en-US"/>
        </w:rPr>
        <w:t>Najwyższa Izba Kontroli</w:t>
      </w:r>
      <w:r w:rsidR="006F2F16" w:rsidRPr="00652396">
        <w:rPr>
          <w:lang w:val="en-US"/>
        </w:rPr>
        <w:t xml:space="preserve"> (samodzielnie),</w:t>
      </w:r>
      <w:r w:rsidR="00F35C9A" w:rsidRPr="00652396">
        <w:rPr>
          <w:lang w:val="en-US"/>
        </w:rPr>
        <w:t xml:space="preserve"> projekt</w:t>
      </w:r>
      <w:r w:rsidR="006363BA" w:rsidRPr="00652396">
        <w:rPr>
          <w:lang w:val="en-US"/>
        </w:rPr>
        <w:t xml:space="preserve">: </w:t>
      </w:r>
      <w:r w:rsidR="006363BA" w:rsidRPr="00652396">
        <w:rPr>
          <w:i/>
          <w:lang w:val="en-US"/>
        </w:rPr>
        <w:t>Developing professional capacity of the Kosovo National Audit Office regarding audit of Publicly owned enterprises</w:t>
      </w:r>
      <w:r w:rsidRPr="00652396">
        <w:rPr>
          <w:lang w:val="en-US"/>
        </w:rPr>
        <w:t>, budżet: 200 000 euro;</w:t>
      </w:r>
    </w:p>
    <w:p w:rsidR="00F35C9A" w:rsidRPr="0061153B" w:rsidRDefault="00565A3B" w:rsidP="00756083">
      <w:pPr>
        <w:pStyle w:val="Akapitzlist"/>
        <w:numPr>
          <w:ilvl w:val="0"/>
          <w:numId w:val="2"/>
        </w:numPr>
        <w:jc w:val="both"/>
      </w:pPr>
      <w:r w:rsidRPr="0061153B">
        <w:t>Macedonii</w:t>
      </w:r>
      <w:r w:rsidR="00F35C9A" w:rsidRPr="0061153B">
        <w:t xml:space="preserve"> - Instytut Ekonomiki Rolnictwa i Gospodarki Żywnościowej</w:t>
      </w:r>
      <w:r w:rsidR="006F2F16">
        <w:t xml:space="preserve">, </w:t>
      </w:r>
      <w:r w:rsidR="006F2F16" w:rsidRPr="0061153B">
        <w:t>(</w:t>
      </w:r>
      <w:r w:rsidR="006F2F16">
        <w:t xml:space="preserve">jako </w:t>
      </w:r>
      <w:r w:rsidR="006F2F16" w:rsidRPr="0061153B">
        <w:t>młodszy partner w Włochami)</w:t>
      </w:r>
      <w:r w:rsidR="006F2F16">
        <w:t>,</w:t>
      </w:r>
      <w:r w:rsidR="00F35C9A" w:rsidRPr="0061153B">
        <w:t xml:space="preserve"> projekt: </w:t>
      </w:r>
      <w:r w:rsidR="00F35C9A" w:rsidRPr="006F2F16">
        <w:rPr>
          <w:i/>
        </w:rPr>
        <w:t>Finalization of the Farm Accountancy Data Network</w:t>
      </w:r>
      <w:r w:rsidRPr="0061153B">
        <w:t>, budżet: 800 000 euro.</w:t>
      </w:r>
    </w:p>
    <w:p w:rsidR="00343B55" w:rsidRPr="0061153B" w:rsidRDefault="004E63F5" w:rsidP="00756083">
      <w:pPr>
        <w:jc w:val="both"/>
      </w:pPr>
      <w:r w:rsidRPr="0061153B">
        <w:t>Suma budżetów</w:t>
      </w:r>
      <w:r w:rsidRPr="0061153B">
        <w:rPr>
          <w:rStyle w:val="Odwoanieprzypisudolnego"/>
        </w:rPr>
        <w:footnoteReference w:id="2"/>
      </w:r>
      <w:r w:rsidRPr="0061153B">
        <w:t xml:space="preserve"> ww. projektów wyniosła 6 450 000 euro (27 810 465 zł)</w:t>
      </w:r>
      <w:r w:rsidRPr="0061153B">
        <w:rPr>
          <w:rStyle w:val="Odwoanieprzypisudolnego"/>
        </w:rPr>
        <w:footnoteReference w:id="3"/>
      </w:r>
      <w:r w:rsidR="006F2F16">
        <w:t>.</w:t>
      </w:r>
    </w:p>
    <w:p w:rsidR="006363BA" w:rsidRPr="0061153B" w:rsidRDefault="00343B55" w:rsidP="006F2F16">
      <w:r w:rsidRPr="0061153B">
        <w:t xml:space="preserve">Poniższa tabela przedstawia przygotowane oferty oraz wygrane projekty twinningowe </w:t>
      </w:r>
      <w:r w:rsidR="004E63F5" w:rsidRPr="0061153B">
        <w:t>przez</w:t>
      </w:r>
      <w:r w:rsidRPr="0061153B">
        <w:t xml:space="preserve"> polskie </w:t>
      </w:r>
      <w:r w:rsidR="004E63F5" w:rsidRPr="0061153B">
        <w:t>instytucie</w:t>
      </w:r>
      <w:r w:rsidRPr="0061153B">
        <w:t xml:space="preserve"> publiczne w latach 2011- 2017.</w:t>
      </w:r>
      <w:r w:rsidR="006363BA" w:rsidRPr="0061153B">
        <w:t xml:space="preserve"> </w:t>
      </w:r>
      <w:r w:rsidR="004E63F5" w:rsidRPr="0061153B">
        <w:rPr>
          <w:noProof/>
          <w:lang w:eastAsia="pl-PL"/>
        </w:rPr>
        <w:drawing>
          <wp:inline distT="0" distB="0" distL="0" distR="0" wp14:anchorId="236CC9CC" wp14:editId="1F866A82">
            <wp:extent cx="5756745" cy="2146852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8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8CA" w:rsidRPr="0061153B" w:rsidRDefault="004E63F5" w:rsidP="00756083">
      <w:pPr>
        <w:jc w:val="both"/>
      </w:pPr>
      <w:r w:rsidRPr="0061153B">
        <w:t>Poniższa tabela przedstawia wysokości budżetów projektów twinningowych wygranych przez polskie instytucje publiczne w latach 2011 – 2017.</w:t>
      </w:r>
    </w:p>
    <w:p w:rsidR="004E63F5" w:rsidRPr="0061153B" w:rsidRDefault="004E63F5" w:rsidP="00756083">
      <w:pPr>
        <w:jc w:val="both"/>
      </w:pPr>
      <w:r w:rsidRPr="0061153B">
        <w:rPr>
          <w:noProof/>
          <w:lang w:eastAsia="pl-PL"/>
        </w:rPr>
        <w:drawing>
          <wp:inline distT="0" distB="0" distL="0" distR="0" wp14:anchorId="02B0B713" wp14:editId="506C1012">
            <wp:extent cx="5756745" cy="21548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8CA" w:rsidRDefault="004E63F5" w:rsidP="00756083">
      <w:pPr>
        <w:jc w:val="both"/>
      </w:pPr>
      <w:r w:rsidRPr="0061153B">
        <w:t xml:space="preserve">Jak widać na </w:t>
      </w:r>
      <w:r w:rsidR="00B54C26">
        <w:t>powyższych</w:t>
      </w:r>
      <w:r w:rsidRPr="0061153B">
        <w:t xml:space="preserve"> tabelach od </w:t>
      </w:r>
      <w:r w:rsidR="006F2F16">
        <w:t>pięciu lat</w:t>
      </w:r>
      <w:r w:rsidRPr="0061153B">
        <w:t xml:space="preserve"> </w:t>
      </w:r>
      <w:r w:rsidR="00B54C26">
        <w:t xml:space="preserve">utrzymuje się stabilny trend, w którym </w:t>
      </w:r>
      <w:r w:rsidRPr="0061153B">
        <w:t>polskie instytucje corocznie wygrywają od pięciu do sześciu projektów twinningowych na łączną kwotę od ponad sześciu do ponad ośmiu milionów euro.</w:t>
      </w:r>
      <w:r w:rsidR="00824D45" w:rsidRPr="0061153B">
        <w:t xml:space="preserve"> Warto zwrócić uwagę na wysoki procent ofert przygotowany</w:t>
      </w:r>
      <w:r w:rsidR="00B54C26">
        <w:t>ch do projektów wygranych (75%) w 2017 r.</w:t>
      </w:r>
    </w:p>
    <w:p w:rsidR="00146F23" w:rsidRPr="0061153B" w:rsidRDefault="00146F23" w:rsidP="00756083">
      <w:pPr>
        <w:jc w:val="both"/>
      </w:pPr>
    </w:p>
    <w:p w:rsidR="007914EA" w:rsidRPr="0061153B" w:rsidRDefault="00106BAD" w:rsidP="0075608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Pozostałe informacje</w:t>
      </w:r>
    </w:p>
    <w:p w:rsidR="00756083" w:rsidRPr="0061153B" w:rsidRDefault="008A7072" w:rsidP="00756083">
      <w:pPr>
        <w:jc w:val="both"/>
      </w:pPr>
      <w:r w:rsidRPr="0061153B">
        <w:t>W 2017 r. przekazano polskim instytucjom administracji publicznej informacje o ponad 70 fiszkach projektowych</w:t>
      </w:r>
      <w:r w:rsidR="002375D4">
        <w:rPr>
          <w:rStyle w:val="Odwoanieprzypisudolnego"/>
        </w:rPr>
        <w:footnoteReference w:id="4"/>
      </w:r>
      <w:r w:rsidRPr="0061153B">
        <w:t>. Głównie z sektorów: sprawiedliwość i sprawy wewnętrzne oraz finanse publiczne.</w:t>
      </w:r>
      <w:r w:rsidR="00142FB6" w:rsidRPr="0061153B">
        <w:t xml:space="preserve"> </w:t>
      </w:r>
    </w:p>
    <w:p w:rsidR="00756083" w:rsidRPr="0061153B" w:rsidRDefault="00756083" w:rsidP="00756083">
      <w:pPr>
        <w:jc w:val="both"/>
      </w:pPr>
      <w:r w:rsidRPr="0061153B">
        <w:t>P</w:t>
      </w:r>
      <w:r w:rsidR="00142FB6" w:rsidRPr="0061153B">
        <w:t xml:space="preserve">rowadzona </w:t>
      </w:r>
      <w:r w:rsidR="00197835">
        <w:t>by</w:t>
      </w:r>
      <w:r w:rsidR="00652396">
        <w:t>ła</w:t>
      </w:r>
      <w:r w:rsidR="00197835">
        <w:t xml:space="preserve"> </w:t>
      </w:r>
      <w:r w:rsidR="00142FB6" w:rsidRPr="0061153B">
        <w:t>strona internetowa</w:t>
      </w:r>
      <w:r w:rsidR="00142FB6" w:rsidRPr="0061153B">
        <w:rPr>
          <w:rStyle w:val="Odwoanieprzypisudolnego"/>
        </w:rPr>
        <w:footnoteReference w:id="5"/>
      </w:r>
      <w:r w:rsidR="00142FB6" w:rsidRPr="0061153B">
        <w:t xml:space="preserve">, na której znaleźć można fiszki </w:t>
      </w:r>
      <w:r w:rsidR="002375D4">
        <w:t>projektowe, ogólne informacje o </w:t>
      </w:r>
      <w:r w:rsidR="00142FB6" w:rsidRPr="0061153B">
        <w:t xml:space="preserve">programie współpracy bliźniaczej, </w:t>
      </w:r>
      <w:r w:rsidR="002375D4">
        <w:t>a także</w:t>
      </w:r>
      <w:r w:rsidR="00142FB6" w:rsidRPr="0061153B">
        <w:t xml:space="preserve"> informacje o aktualnych wydarzeniach twinningowych.</w:t>
      </w:r>
    </w:p>
    <w:p w:rsidR="00A947AD" w:rsidRPr="0061153B" w:rsidRDefault="00A947AD" w:rsidP="00756083">
      <w:pPr>
        <w:jc w:val="both"/>
      </w:pPr>
      <w:r w:rsidRPr="0061153B">
        <w:t>W związku z wejściem w życie</w:t>
      </w:r>
      <w:r w:rsidR="005158CA" w:rsidRPr="0061153B">
        <w:t xml:space="preserve"> nowego </w:t>
      </w:r>
      <w:r w:rsidRPr="0061153B">
        <w:t xml:space="preserve">podręcznika realizacji projektów twinningowych Komisji Europejskiej - </w:t>
      </w:r>
      <w:r w:rsidR="005158CA" w:rsidRPr="0061153B">
        <w:t>Twinning Manual</w:t>
      </w:r>
      <w:r w:rsidR="002375D4">
        <w:t xml:space="preserve"> 2017</w:t>
      </w:r>
      <w:r w:rsidRPr="0061153B">
        <w:rPr>
          <w:rStyle w:val="Odwoanieprzypisudolnego"/>
        </w:rPr>
        <w:footnoteReference w:id="6"/>
      </w:r>
      <w:r w:rsidR="005158CA" w:rsidRPr="0061153B">
        <w:t xml:space="preserve"> </w:t>
      </w:r>
      <w:r w:rsidRPr="0061153B">
        <w:t>zorganizowano we w</w:t>
      </w:r>
      <w:r w:rsidR="002375D4">
        <w:t>rześniu 2017</w:t>
      </w:r>
      <w:r w:rsidR="004D301A">
        <w:t xml:space="preserve"> r.</w:t>
      </w:r>
      <w:r w:rsidR="002375D4">
        <w:t xml:space="preserve"> wideokonferencję z </w:t>
      </w:r>
      <w:r w:rsidRPr="0061153B">
        <w:t xml:space="preserve">przedstawicielami Komisji Europejskiej na temat nowych zasad realizacji projektów. </w:t>
      </w:r>
    </w:p>
    <w:p w:rsidR="00A947AD" w:rsidRPr="0061153B" w:rsidRDefault="00A947AD" w:rsidP="00756083">
      <w:pPr>
        <w:jc w:val="both"/>
      </w:pPr>
      <w:r w:rsidRPr="0061153B">
        <w:t>We wrześniu 2017 r. zorganizowano także spotkanie międzyresortowe dot. wymiany doświadczeń instytucji realizujących projekty twinningowe na dotychczasowych zasadach.</w:t>
      </w:r>
    </w:p>
    <w:p w:rsidR="00A947AD" w:rsidRPr="0061153B" w:rsidRDefault="002375D4" w:rsidP="00756083">
      <w:pPr>
        <w:jc w:val="both"/>
      </w:pPr>
      <w:r>
        <w:t>W</w:t>
      </w:r>
      <w:r w:rsidR="00A947AD" w:rsidRPr="0061153B">
        <w:t xml:space="preserve"> grudniu</w:t>
      </w:r>
      <w:r w:rsidR="00B940A6" w:rsidRPr="0061153B">
        <w:t xml:space="preserve"> </w:t>
      </w:r>
      <w:r w:rsidR="004D301A">
        <w:t xml:space="preserve">2017 </w:t>
      </w:r>
      <w:r w:rsidR="00B940A6" w:rsidRPr="0061153B">
        <w:t>r.</w:t>
      </w:r>
      <w:r w:rsidR="00A947AD" w:rsidRPr="0061153B">
        <w:t xml:space="preserve"> miał</w:t>
      </w:r>
      <w:r w:rsidR="00B940A6" w:rsidRPr="0061153B">
        <w:t>a miejsce doroczna konferencja t</w:t>
      </w:r>
      <w:r w:rsidR="00A947AD" w:rsidRPr="0061153B">
        <w:t>winningowa</w:t>
      </w:r>
      <w:r w:rsidR="00B940A6" w:rsidRPr="0061153B">
        <w:t>,</w:t>
      </w:r>
      <w:r w:rsidR="00A947AD" w:rsidRPr="0061153B">
        <w:t xml:space="preserve"> na której podsumowano </w:t>
      </w:r>
      <w:r w:rsidR="00B940A6" w:rsidRPr="0061153B">
        <w:t>wydarzenia twinningowe 2017 r.</w:t>
      </w:r>
    </w:p>
    <w:p w:rsidR="00B940A6" w:rsidRPr="0061153B" w:rsidRDefault="00B940A6" w:rsidP="00756083">
      <w:pPr>
        <w:jc w:val="both"/>
      </w:pPr>
      <w:r w:rsidRPr="0061153B">
        <w:t>Zgodnie z nowymi przepisami twinningowymi</w:t>
      </w:r>
      <w:r w:rsidRPr="0061153B">
        <w:rPr>
          <w:rStyle w:val="Odwoanieprzypisudolnego"/>
        </w:rPr>
        <w:footnoteReference w:id="7"/>
      </w:r>
      <w:r w:rsidRPr="0061153B">
        <w:t xml:space="preserve"> od lipca </w:t>
      </w:r>
      <w:r w:rsidR="004D301A">
        <w:t xml:space="preserve">2017 </w:t>
      </w:r>
      <w:r w:rsidRPr="0061153B">
        <w:t xml:space="preserve">r. </w:t>
      </w:r>
      <w:r w:rsidR="00106BAD">
        <w:t>przyjmowano</w:t>
      </w:r>
      <w:r w:rsidRPr="0061153B">
        <w:t xml:space="preserve"> wnioski od polskich instytucji publicznych niewchodzących w skład administracji publicznej</w:t>
      </w:r>
      <w:r w:rsidR="002375D4">
        <w:t xml:space="preserve"> o dopuszczenie do </w:t>
      </w:r>
      <w:r w:rsidRPr="0061153B">
        <w:t>realizacji projektów twinningowych</w:t>
      </w:r>
      <w:r w:rsidR="002375D4">
        <w:rPr>
          <w:rStyle w:val="Odwoanieprzypisudolnego"/>
        </w:rPr>
        <w:footnoteReference w:id="8"/>
      </w:r>
      <w:r w:rsidRPr="0061153B">
        <w:t xml:space="preserve">. W 2017 r. przedmiotowy status </w:t>
      </w:r>
      <w:r w:rsidR="00DF3AC7" w:rsidRPr="0061153B">
        <w:t>otrzymało</w:t>
      </w:r>
      <w:r w:rsidRPr="0061153B">
        <w:t xml:space="preserve"> pięć instytucji.</w:t>
      </w:r>
    </w:p>
    <w:p w:rsidR="00DF3AC7" w:rsidRDefault="00106BAD" w:rsidP="00756083">
      <w:pPr>
        <w:jc w:val="both"/>
      </w:pPr>
      <w:r>
        <w:t>W</w:t>
      </w:r>
      <w:r w:rsidR="00DF3AC7" w:rsidRPr="0061153B">
        <w:t>spółprac</w:t>
      </w:r>
      <w:r>
        <w:t>owano</w:t>
      </w:r>
      <w:r w:rsidR="00DF3AC7" w:rsidRPr="0061153B">
        <w:t xml:space="preserve"> z polskimi placówkami dyplomatycznymi w celu zapewnienia polskim instytucjom przygotowującym oferty twinningowe należytego wsparcia dyplomatycznego. </w:t>
      </w:r>
      <w:r>
        <w:t>(P</w:t>
      </w:r>
      <w:r w:rsidR="00DF3AC7" w:rsidRPr="0061153B">
        <w:t>oprzez bieżące kontakty z polskimi ambasadami, a także poprzez przygotowanie przekrojowych materiałów informacyjnych</w:t>
      </w:r>
      <w:r w:rsidR="00DF3AC7" w:rsidRPr="0061153B">
        <w:rPr>
          <w:rStyle w:val="Odwoanieprzypisudolnego"/>
        </w:rPr>
        <w:footnoteReference w:id="9"/>
      </w:r>
      <w:r>
        <w:t>)</w:t>
      </w:r>
      <w:r w:rsidR="00DF3AC7" w:rsidRPr="0061153B">
        <w:t xml:space="preserve">. </w:t>
      </w:r>
    </w:p>
    <w:p w:rsidR="00146F23" w:rsidRPr="0061153B" w:rsidRDefault="00146F23" w:rsidP="00756083">
      <w:pPr>
        <w:jc w:val="both"/>
      </w:pPr>
    </w:p>
    <w:sectPr w:rsidR="00146F23" w:rsidRPr="006115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00" w:rsidRDefault="00685500" w:rsidP="00DF30FB">
      <w:pPr>
        <w:spacing w:after="0" w:line="240" w:lineRule="auto"/>
      </w:pPr>
      <w:r>
        <w:separator/>
      </w:r>
    </w:p>
  </w:endnote>
  <w:endnote w:type="continuationSeparator" w:id="0">
    <w:p w:rsidR="00685500" w:rsidRDefault="00685500" w:rsidP="00DF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98815"/>
      <w:docPartObj>
        <w:docPartGallery w:val="Page Numbers (Bottom of Page)"/>
        <w:docPartUnique/>
      </w:docPartObj>
    </w:sdtPr>
    <w:sdtEndPr/>
    <w:sdtContent>
      <w:p w:rsidR="004D301A" w:rsidRDefault="004D30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AD">
          <w:rPr>
            <w:noProof/>
          </w:rPr>
          <w:t>3</w:t>
        </w:r>
        <w:r>
          <w:fldChar w:fldCharType="end"/>
        </w:r>
      </w:p>
    </w:sdtContent>
  </w:sdt>
  <w:p w:rsidR="004D301A" w:rsidRDefault="004D3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00" w:rsidRDefault="00685500" w:rsidP="00DF30FB">
      <w:pPr>
        <w:spacing w:after="0" w:line="240" w:lineRule="auto"/>
      </w:pPr>
      <w:r>
        <w:separator/>
      </w:r>
    </w:p>
  </w:footnote>
  <w:footnote w:type="continuationSeparator" w:id="0">
    <w:p w:rsidR="00685500" w:rsidRDefault="00685500" w:rsidP="00DF30FB">
      <w:pPr>
        <w:spacing w:after="0" w:line="240" w:lineRule="auto"/>
      </w:pPr>
      <w:r>
        <w:continuationSeparator/>
      </w:r>
    </w:p>
  </w:footnote>
  <w:footnote w:id="1">
    <w:p w:rsidR="00DF30FB" w:rsidRDefault="00DF30FB" w:rsidP="006F2F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Twinning</w:t>
      </w:r>
      <w:r w:rsidRPr="00DF30FB">
        <w:t xml:space="preserve"> jest </w:t>
      </w:r>
      <w:r>
        <w:t>programem Komisji Europejskiej powstałym w 1998 r. Jego</w:t>
      </w:r>
      <w:r w:rsidRPr="00DF30FB">
        <w:t xml:space="preserve"> głównym celem jest </w:t>
      </w:r>
      <w:r>
        <w:t xml:space="preserve">merytoryczne </w:t>
      </w:r>
      <w:r w:rsidRPr="00DF30FB">
        <w:t xml:space="preserve">wspieranie instytucji publicznych oraz </w:t>
      </w:r>
      <w:r w:rsidR="00197835">
        <w:t xml:space="preserve">wspieranie </w:t>
      </w:r>
      <w:r w:rsidRPr="00DF30FB">
        <w:t xml:space="preserve">rozwoju nowoczesnej administracji </w:t>
      </w:r>
      <w:r w:rsidR="006F2F16">
        <w:t>w </w:t>
      </w:r>
      <w:r w:rsidRPr="00DF30FB">
        <w:t>państwach objętych</w:t>
      </w:r>
      <w:r>
        <w:t xml:space="preserve"> </w:t>
      </w:r>
      <w:r w:rsidRPr="00DF30FB">
        <w:t>programami finansowanymi przez Komisję Europejską, takimi jak: ENPI, IPA.</w:t>
      </w:r>
      <w:r>
        <w:t xml:space="preserve"> Polska była beneficjentem programów twinningowych do 2008 r. Natomiast od 2004 r. Polska może brać udział w realizacji twinningów jako dawca pomocy.</w:t>
      </w:r>
      <w:r w:rsidR="004E63F5">
        <w:t xml:space="preserve"> W twinningu mogą brać udział wyłącznie instytucje publiczne.</w:t>
      </w:r>
    </w:p>
  </w:footnote>
  <w:footnote w:id="2">
    <w:p w:rsidR="004E63F5" w:rsidRDefault="004E63F5" w:rsidP="006F2F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Budżet projektu twinningowego </w:t>
      </w:r>
      <w:r w:rsidR="002375D4">
        <w:t>to</w:t>
      </w:r>
      <w:r>
        <w:t xml:space="preserve"> środki przeznaczone na realizację projektu przez Komisję Europejską, wraz ze współfinansowaniem </w:t>
      </w:r>
      <w:r w:rsidR="002375D4">
        <w:t xml:space="preserve">ze  strony </w:t>
      </w:r>
      <w:r>
        <w:t>beneficjenta pomocy.</w:t>
      </w:r>
    </w:p>
  </w:footnote>
  <w:footnote w:id="3">
    <w:p w:rsidR="004E63F5" w:rsidRDefault="004E63F5" w:rsidP="006F2F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Wg. kursu ustalonego w Rozporządzeniu Prezesa Rady Ministrów z dnia 29 grudnia 2017 r., poz. 2477.</w:t>
      </w:r>
    </w:p>
  </w:footnote>
  <w:footnote w:id="4">
    <w:p w:rsidR="002375D4" w:rsidRDefault="002375D4">
      <w:pPr>
        <w:pStyle w:val="Tekstprzypisudolnego"/>
      </w:pPr>
      <w:r>
        <w:rPr>
          <w:rStyle w:val="Odwoanieprzypisudolnego"/>
        </w:rPr>
        <w:footnoteRef/>
      </w:r>
      <w:r>
        <w:t xml:space="preserve"> Fiszka projektowa – karta projektu. Dokument zaakceptowany przez Komisję Europejską zawierający m.in. opis oraz budżet projektu. </w:t>
      </w:r>
    </w:p>
  </w:footnote>
  <w:footnote w:id="5">
    <w:p w:rsidR="00142FB6" w:rsidRDefault="00142FB6" w:rsidP="00146F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www.twinning.msz.gov.pl</w:t>
      </w:r>
    </w:p>
  </w:footnote>
  <w:footnote w:id="6">
    <w:p w:rsidR="00A947AD" w:rsidRDefault="00A947AD" w:rsidP="00146F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75D4">
        <w:t>Podręcznik d</w:t>
      </w:r>
      <w:r>
        <w:t>otyczy projektów ogłoszonych przez Komisję Europejską od 1 lipca 2017 r.</w:t>
      </w:r>
    </w:p>
  </w:footnote>
  <w:footnote w:id="7">
    <w:p w:rsidR="00B940A6" w:rsidRDefault="00B940A6" w:rsidP="00146F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Zawartymi w Twinning Manual 2017.</w:t>
      </w:r>
    </w:p>
  </w:footnote>
  <w:footnote w:id="8">
    <w:p w:rsidR="002375D4" w:rsidRDefault="002375D4" w:rsidP="00146F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1153B">
        <w:t xml:space="preserve">Aby </w:t>
      </w:r>
      <w:r>
        <w:t>polska</w:t>
      </w:r>
      <w:r w:rsidRPr="0061153B">
        <w:t xml:space="preserve"> instytucja</w:t>
      </w:r>
      <w:r>
        <w:t xml:space="preserve"> niewchodząca w skład administracji publicznej</w:t>
      </w:r>
      <w:r w:rsidRPr="0061153B">
        <w:t xml:space="preserve"> mogła realizować projekty twinningowe musi uzyskać z Komisji Europejskiej </w:t>
      </w:r>
      <w:r>
        <w:t xml:space="preserve">za pośrednictwem KPK </w:t>
      </w:r>
      <w:r w:rsidRPr="0061153B">
        <w:t>tzw. status Mandated Body.</w:t>
      </w:r>
    </w:p>
  </w:footnote>
  <w:footnote w:id="9">
    <w:p w:rsidR="00DF3AC7" w:rsidRDefault="00DF3AC7" w:rsidP="00146F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listopadzie 2017 r. przygotowano materiał informacyjno-tezowy n</w:t>
      </w:r>
      <w:r w:rsidR="00146F23">
        <w:t>a naradę polskich ambasadorów z państw</w:t>
      </w:r>
      <w:r>
        <w:t xml:space="preserve"> Partnerstwa Wschodniego.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5B7"/>
    <w:multiLevelType w:val="hybridMultilevel"/>
    <w:tmpl w:val="C946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10DF"/>
    <w:multiLevelType w:val="hybridMultilevel"/>
    <w:tmpl w:val="B800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72068"/>
    <w:multiLevelType w:val="hybridMultilevel"/>
    <w:tmpl w:val="79BC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54E47"/>
    <w:multiLevelType w:val="hybridMultilevel"/>
    <w:tmpl w:val="50180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CA"/>
    <w:rsid w:val="00106BAD"/>
    <w:rsid w:val="00142FB6"/>
    <w:rsid w:val="00146F23"/>
    <w:rsid w:val="00197835"/>
    <w:rsid w:val="002375D4"/>
    <w:rsid w:val="0026419D"/>
    <w:rsid w:val="002705F4"/>
    <w:rsid w:val="0027102D"/>
    <w:rsid w:val="00343B55"/>
    <w:rsid w:val="003C4F35"/>
    <w:rsid w:val="004462DF"/>
    <w:rsid w:val="004D301A"/>
    <w:rsid w:val="004E63F5"/>
    <w:rsid w:val="005158CA"/>
    <w:rsid w:val="00565A3B"/>
    <w:rsid w:val="00585957"/>
    <w:rsid w:val="005A02F8"/>
    <w:rsid w:val="0061153B"/>
    <w:rsid w:val="006363BA"/>
    <w:rsid w:val="00645EFF"/>
    <w:rsid w:val="00652396"/>
    <w:rsid w:val="00681891"/>
    <w:rsid w:val="00685500"/>
    <w:rsid w:val="006F2F16"/>
    <w:rsid w:val="00756083"/>
    <w:rsid w:val="007914EA"/>
    <w:rsid w:val="007F196C"/>
    <w:rsid w:val="00824D45"/>
    <w:rsid w:val="008A7072"/>
    <w:rsid w:val="009454E5"/>
    <w:rsid w:val="00A947AD"/>
    <w:rsid w:val="00B54C26"/>
    <w:rsid w:val="00B940A6"/>
    <w:rsid w:val="00C6564A"/>
    <w:rsid w:val="00CB1A81"/>
    <w:rsid w:val="00CE6573"/>
    <w:rsid w:val="00D2469C"/>
    <w:rsid w:val="00DB30A0"/>
    <w:rsid w:val="00DF30FB"/>
    <w:rsid w:val="00DF3AC7"/>
    <w:rsid w:val="00E10DA3"/>
    <w:rsid w:val="00EE7F82"/>
    <w:rsid w:val="00F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0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0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0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8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8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01A"/>
  </w:style>
  <w:style w:type="paragraph" w:styleId="Stopka">
    <w:name w:val="footer"/>
    <w:basedOn w:val="Normalny"/>
    <w:link w:val="StopkaZnak"/>
    <w:uiPriority w:val="99"/>
    <w:unhideWhenUsed/>
    <w:rsid w:val="004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0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0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0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8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8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01A"/>
  </w:style>
  <w:style w:type="paragraph" w:styleId="Stopka">
    <w:name w:val="footer"/>
    <w:basedOn w:val="Normalny"/>
    <w:link w:val="StopkaZnak"/>
    <w:uiPriority w:val="99"/>
    <w:unhideWhenUsed/>
    <w:rsid w:val="004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0470-B809-4CBC-81E4-76CA14BF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Wojciech</dc:creator>
  <cp:lastModifiedBy>Gołębiowski Wojciech</cp:lastModifiedBy>
  <cp:revision>2</cp:revision>
  <cp:lastPrinted>2018-01-11T09:44:00Z</cp:lastPrinted>
  <dcterms:created xsi:type="dcterms:W3CDTF">2018-01-15T08:07:00Z</dcterms:created>
  <dcterms:modified xsi:type="dcterms:W3CDTF">2018-01-15T08:07:00Z</dcterms:modified>
</cp:coreProperties>
</file>